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D661E" w14:textId="4D7FFE0D" w:rsidR="00EF3453" w:rsidRPr="0058787A" w:rsidRDefault="0058787A" w:rsidP="000D20BE">
      <w:pPr>
        <w:spacing w:line="360" w:lineRule="auto"/>
        <w:ind w:firstLine="5387"/>
        <w:jc w:val="right"/>
        <w:rPr>
          <w:rFonts w:cs="Times New Roman"/>
          <w:sz w:val="24"/>
          <w:szCs w:val="24"/>
        </w:rPr>
      </w:pPr>
      <w:r w:rsidRPr="0058787A">
        <w:rPr>
          <w:rFonts w:cs="Times New Roman"/>
          <w:sz w:val="24"/>
          <w:szCs w:val="24"/>
        </w:rPr>
        <w:t>Утверждена</w:t>
      </w:r>
      <w:r w:rsidR="00EF3453" w:rsidRPr="0058787A">
        <w:rPr>
          <w:rFonts w:cs="Times New Roman"/>
          <w:sz w:val="24"/>
          <w:szCs w:val="24"/>
        </w:rPr>
        <w:t xml:space="preserve"> постановлением Администрации городского округа Домодедово</w:t>
      </w:r>
    </w:p>
    <w:p w14:paraId="64DB6F79" w14:textId="3B5078B0" w:rsidR="0031567E" w:rsidRDefault="0031567E" w:rsidP="000D20BE">
      <w:pPr>
        <w:spacing w:line="360" w:lineRule="auto"/>
        <w:ind w:firstLine="5387"/>
        <w:jc w:val="right"/>
        <w:rPr>
          <w:rFonts w:cs="Times New Roman"/>
          <w:sz w:val="24"/>
          <w:szCs w:val="24"/>
        </w:rPr>
      </w:pPr>
      <w:r w:rsidRPr="0058787A">
        <w:rPr>
          <w:rFonts w:cs="Times New Roman"/>
          <w:sz w:val="24"/>
          <w:szCs w:val="24"/>
        </w:rPr>
        <w:t>от __________ №____________</w:t>
      </w:r>
    </w:p>
    <w:p w14:paraId="1932C8B7" w14:textId="77777777" w:rsidR="0058787A" w:rsidRPr="009E5586" w:rsidRDefault="0058787A" w:rsidP="000D20BE">
      <w:pPr>
        <w:spacing w:line="360" w:lineRule="auto"/>
        <w:ind w:firstLine="5387"/>
        <w:jc w:val="right"/>
        <w:rPr>
          <w:rFonts w:cs="Times New Roman"/>
          <w:sz w:val="24"/>
          <w:szCs w:val="24"/>
        </w:rPr>
      </w:pPr>
    </w:p>
    <w:p w14:paraId="280A1ED9" w14:textId="7DC3AC07" w:rsidR="006C4133" w:rsidRPr="009E5586" w:rsidRDefault="006C4133" w:rsidP="000D20BE">
      <w:pPr>
        <w:spacing w:line="360" w:lineRule="auto"/>
        <w:ind w:firstLine="5387"/>
        <w:jc w:val="right"/>
        <w:rPr>
          <w:rFonts w:cs="Times New Roman"/>
          <w:sz w:val="24"/>
          <w:szCs w:val="24"/>
        </w:rPr>
      </w:pPr>
    </w:p>
    <w:tbl>
      <w:tblPr>
        <w:tblW w:w="14616" w:type="dxa"/>
        <w:tblInd w:w="93" w:type="dxa"/>
        <w:tblLook w:val="04A0" w:firstRow="1" w:lastRow="0" w:firstColumn="1" w:lastColumn="0" w:noHBand="0" w:noVBand="1"/>
      </w:tblPr>
      <w:tblGrid>
        <w:gridCol w:w="13810"/>
        <w:gridCol w:w="403"/>
        <w:gridCol w:w="403"/>
      </w:tblGrid>
      <w:tr w:rsidR="006C4133" w:rsidRPr="009E5586"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9E5586"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9E5586"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9E5586" w:rsidRDefault="006C4133" w:rsidP="000D20BE">
            <w:pPr>
              <w:jc w:val="right"/>
              <w:rPr>
                <w:rFonts w:cs="Times New Roman"/>
                <w:color w:val="000000"/>
                <w:sz w:val="24"/>
                <w:szCs w:val="24"/>
              </w:rPr>
            </w:pPr>
          </w:p>
        </w:tc>
      </w:tr>
      <w:tr w:rsidR="006C4133" w:rsidRPr="009E5586"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9E5586"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9E5586" w:rsidRDefault="006C4133" w:rsidP="000D20BE">
            <w:pPr>
              <w:jc w:val="right"/>
              <w:rPr>
                <w:rFonts w:cs="Times New Roman"/>
                <w:color w:val="000000"/>
                <w:sz w:val="24"/>
                <w:szCs w:val="24"/>
              </w:rPr>
            </w:pPr>
          </w:p>
        </w:tc>
      </w:tr>
      <w:tr w:rsidR="006C4133" w:rsidRPr="009E5586"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9E5586" w:rsidRDefault="006C4133" w:rsidP="000D20BE">
            <w:pPr>
              <w:jc w:val="right"/>
              <w:rPr>
                <w:rFonts w:cs="Times New Roman"/>
                <w:color w:val="000000"/>
                <w:sz w:val="24"/>
                <w:szCs w:val="24"/>
              </w:rPr>
            </w:pPr>
          </w:p>
        </w:tc>
      </w:tr>
    </w:tbl>
    <w:p w14:paraId="774EC16D" w14:textId="77777777" w:rsidR="006C4133" w:rsidRPr="009E5586" w:rsidRDefault="006C4133" w:rsidP="000D20BE">
      <w:pPr>
        <w:spacing w:line="360" w:lineRule="auto"/>
        <w:ind w:firstLine="5387"/>
        <w:jc w:val="right"/>
        <w:rPr>
          <w:rFonts w:cs="Times New Roman"/>
          <w:sz w:val="24"/>
          <w:szCs w:val="24"/>
        </w:rPr>
      </w:pPr>
    </w:p>
    <w:p w14:paraId="235F7B92" w14:textId="77777777" w:rsidR="006C4133" w:rsidRPr="009E5586" w:rsidRDefault="006C4133" w:rsidP="000D20BE">
      <w:pPr>
        <w:spacing w:line="360" w:lineRule="auto"/>
        <w:ind w:firstLine="5387"/>
        <w:jc w:val="center"/>
        <w:rPr>
          <w:rFonts w:cs="Times New Roman"/>
          <w:sz w:val="24"/>
          <w:szCs w:val="24"/>
        </w:rPr>
      </w:pPr>
    </w:p>
    <w:p w14:paraId="21144504" w14:textId="77777777" w:rsidR="006C4133" w:rsidRPr="009E5586" w:rsidRDefault="006C4133" w:rsidP="000D20BE">
      <w:pPr>
        <w:spacing w:line="360" w:lineRule="auto"/>
        <w:ind w:firstLine="5387"/>
        <w:jc w:val="center"/>
        <w:rPr>
          <w:rFonts w:cs="Times New Roman"/>
          <w:sz w:val="24"/>
          <w:szCs w:val="24"/>
        </w:rPr>
      </w:pPr>
    </w:p>
    <w:p w14:paraId="21A86E0A" w14:textId="77777777" w:rsidR="006C4133" w:rsidRPr="009E5586" w:rsidRDefault="006C4133" w:rsidP="000D20BE">
      <w:pPr>
        <w:spacing w:line="360" w:lineRule="auto"/>
        <w:jc w:val="center"/>
        <w:rPr>
          <w:rFonts w:cs="Times New Roman"/>
          <w:sz w:val="24"/>
          <w:szCs w:val="24"/>
        </w:rPr>
      </w:pPr>
    </w:p>
    <w:p w14:paraId="55924954" w14:textId="77777777" w:rsidR="006C4133" w:rsidRPr="009E5586" w:rsidRDefault="006C4133" w:rsidP="000D20BE">
      <w:pPr>
        <w:spacing w:line="360" w:lineRule="auto"/>
        <w:jc w:val="center"/>
        <w:rPr>
          <w:rFonts w:cs="Times New Roman"/>
          <w:sz w:val="24"/>
          <w:szCs w:val="24"/>
        </w:rPr>
      </w:pPr>
    </w:p>
    <w:p w14:paraId="6813F13B" w14:textId="77777777" w:rsidR="006C4133" w:rsidRPr="009E5586" w:rsidRDefault="006C4133" w:rsidP="000D20BE">
      <w:pPr>
        <w:spacing w:line="360" w:lineRule="auto"/>
        <w:jc w:val="center"/>
        <w:rPr>
          <w:rFonts w:cs="Times New Roman"/>
          <w:sz w:val="24"/>
          <w:szCs w:val="24"/>
        </w:rPr>
      </w:pPr>
    </w:p>
    <w:p w14:paraId="601A5CD7" w14:textId="77777777" w:rsidR="006C4133" w:rsidRPr="009E5586" w:rsidRDefault="006C4133" w:rsidP="000D20BE">
      <w:pPr>
        <w:spacing w:line="360" w:lineRule="auto"/>
        <w:jc w:val="center"/>
        <w:rPr>
          <w:rFonts w:cs="Times New Roman"/>
          <w:sz w:val="24"/>
          <w:szCs w:val="24"/>
        </w:rPr>
      </w:pPr>
      <w:r w:rsidRPr="009E5586">
        <w:rPr>
          <w:rFonts w:cs="Times New Roman"/>
          <w:sz w:val="24"/>
          <w:szCs w:val="24"/>
        </w:rPr>
        <w:t>Муниципальная программа городского округа Домодедово</w:t>
      </w:r>
    </w:p>
    <w:p w14:paraId="6E68A056" w14:textId="77777777" w:rsidR="006C4133" w:rsidRPr="009E5586" w:rsidRDefault="006C4133" w:rsidP="000D20BE">
      <w:pPr>
        <w:spacing w:line="360" w:lineRule="auto"/>
        <w:jc w:val="center"/>
        <w:rPr>
          <w:rFonts w:cs="Times New Roman"/>
          <w:sz w:val="24"/>
          <w:szCs w:val="24"/>
        </w:rPr>
      </w:pPr>
      <w:r w:rsidRPr="009E5586">
        <w:rPr>
          <w:rFonts w:cs="Times New Roman"/>
          <w:sz w:val="24"/>
          <w:szCs w:val="24"/>
        </w:rPr>
        <w:t xml:space="preserve"> «Формирование современной комфортной городской среды» </w:t>
      </w:r>
    </w:p>
    <w:p w14:paraId="3EDBE33A" w14:textId="77777777" w:rsidR="006C4133" w:rsidRPr="009E5586" w:rsidRDefault="006C4133" w:rsidP="000D20BE">
      <w:pPr>
        <w:tabs>
          <w:tab w:val="left" w:pos="3510"/>
        </w:tabs>
        <w:jc w:val="center"/>
        <w:rPr>
          <w:rFonts w:cs="Times New Roman"/>
          <w:sz w:val="24"/>
          <w:szCs w:val="24"/>
        </w:rPr>
      </w:pPr>
    </w:p>
    <w:p w14:paraId="14A8F5C6" w14:textId="77777777" w:rsidR="006C4133" w:rsidRPr="009E5586" w:rsidRDefault="006C4133" w:rsidP="000D20BE">
      <w:pPr>
        <w:tabs>
          <w:tab w:val="left" w:pos="3510"/>
        </w:tabs>
        <w:jc w:val="center"/>
        <w:rPr>
          <w:rFonts w:cs="Times New Roman"/>
          <w:sz w:val="24"/>
          <w:szCs w:val="24"/>
        </w:rPr>
      </w:pPr>
    </w:p>
    <w:p w14:paraId="30E96E45" w14:textId="77777777" w:rsidR="006C4133" w:rsidRPr="009E5586" w:rsidRDefault="006C4133" w:rsidP="000D20BE">
      <w:pPr>
        <w:tabs>
          <w:tab w:val="left" w:pos="3510"/>
        </w:tabs>
        <w:jc w:val="center"/>
        <w:rPr>
          <w:rFonts w:cs="Times New Roman"/>
          <w:sz w:val="24"/>
          <w:szCs w:val="24"/>
        </w:rPr>
      </w:pPr>
    </w:p>
    <w:p w14:paraId="06380F88" w14:textId="77777777" w:rsidR="006C4133" w:rsidRPr="009E5586" w:rsidRDefault="006C4133" w:rsidP="000D20BE">
      <w:pPr>
        <w:tabs>
          <w:tab w:val="left" w:pos="3510"/>
        </w:tabs>
        <w:jc w:val="center"/>
        <w:rPr>
          <w:rFonts w:cs="Times New Roman"/>
          <w:sz w:val="24"/>
          <w:szCs w:val="24"/>
        </w:rPr>
      </w:pPr>
    </w:p>
    <w:p w14:paraId="2FB88C4E" w14:textId="77777777" w:rsidR="006C4133" w:rsidRPr="009E5586" w:rsidRDefault="006C4133" w:rsidP="000D20BE">
      <w:pPr>
        <w:tabs>
          <w:tab w:val="left" w:pos="3510"/>
        </w:tabs>
        <w:jc w:val="center"/>
        <w:rPr>
          <w:rFonts w:cs="Times New Roman"/>
          <w:sz w:val="24"/>
          <w:szCs w:val="24"/>
        </w:rPr>
      </w:pPr>
    </w:p>
    <w:p w14:paraId="55EB5324" w14:textId="77777777" w:rsidR="006C4133" w:rsidRPr="009E5586" w:rsidRDefault="006C4133" w:rsidP="000D20BE">
      <w:pPr>
        <w:tabs>
          <w:tab w:val="left" w:pos="3510"/>
        </w:tabs>
        <w:jc w:val="center"/>
        <w:rPr>
          <w:rFonts w:cs="Times New Roman"/>
          <w:sz w:val="24"/>
          <w:szCs w:val="24"/>
        </w:rPr>
      </w:pPr>
    </w:p>
    <w:p w14:paraId="3FE17EDE" w14:textId="77777777" w:rsidR="006C4133" w:rsidRPr="009E5586" w:rsidRDefault="006C4133" w:rsidP="000D20BE">
      <w:pPr>
        <w:tabs>
          <w:tab w:val="left" w:pos="3510"/>
        </w:tabs>
        <w:jc w:val="center"/>
        <w:rPr>
          <w:rFonts w:cs="Times New Roman"/>
          <w:sz w:val="24"/>
          <w:szCs w:val="24"/>
        </w:rPr>
      </w:pPr>
    </w:p>
    <w:p w14:paraId="48CCEEFA" w14:textId="77777777" w:rsidR="006C4133" w:rsidRPr="009E5586" w:rsidRDefault="006C4133" w:rsidP="000D20BE">
      <w:pPr>
        <w:tabs>
          <w:tab w:val="left" w:pos="2835"/>
          <w:tab w:val="left" w:pos="3335"/>
          <w:tab w:val="center" w:pos="4677"/>
        </w:tabs>
        <w:jc w:val="center"/>
        <w:rPr>
          <w:rFonts w:cs="Times New Roman"/>
          <w:sz w:val="24"/>
          <w:szCs w:val="24"/>
        </w:rPr>
      </w:pPr>
      <w:r w:rsidRPr="009E5586">
        <w:rPr>
          <w:rFonts w:cs="Times New Roman"/>
          <w:sz w:val="24"/>
          <w:szCs w:val="24"/>
        </w:rPr>
        <w:t>г. Домодедово</w:t>
      </w:r>
    </w:p>
    <w:p w14:paraId="14C66983" w14:textId="77777777" w:rsidR="001A324F" w:rsidRPr="009E5586" w:rsidRDefault="001A324F" w:rsidP="000D20BE">
      <w:pPr>
        <w:tabs>
          <w:tab w:val="left" w:pos="2835"/>
          <w:tab w:val="left" w:pos="3335"/>
          <w:tab w:val="center" w:pos="4677"/>
        </w:tabs>
        <w:jc w:val="center"/>
        <w:rPr>
          <w:rFonts w:cs="Times New Roman"/>
          <w:sz w:val="24"/>
          <w:szCs w:val="24"/>
        </w:rPr>
      </w:pPr>
    </w:p>
    <w:p w14:paraId="78F8CEF9" w14:textId="77777777" w:rsidR="006C4133" w:rsidRPr="009E5586" w:rsidRDefault="006C4133" w:rsidP="000D20BE">
      <w:pPr>
        <w:tabs>
          <w:tab w:val="left" w:pos="3510"/>
          <w:tab w:val="left" w:pos="3676"/>
          <w:tab w:val="center" w:pos="4677"/>
        </w:tabs>
        <w:jc w:val="center"/>
        <w:rPr>
          <w:rFonts w:cs="Times New Roman"/>
          <w:sz w:val="24"/>
          <w:szCs w:val="24"/>
        </w:rPr>
      </w:pPr>
    </w:p>
    <w:p w14:paraId="3A56C81F" w14:textId="77777777" w:rsidR="00575EF3" w:rsidRPr="009E5586" w:rsidRDefault="00575EF3" w:rsidP="000D20BE">
      <w:pPr>
        <w:tabs>
          <w:tab w:val="left" w:pos="3510"/>
          <w:tab w:val="left" w:pos="3676"/>
          <w:tab w:val="center" w:pos="4677"/>
        </w:tabs>
        <w:jc w:val="center"/>
        <w:rPr>
          <w:rFonts w:cs="Times New Roman"/>
          <w:sz w:val="24"/>
          <w:szCs w:val="24"/>
        </w:rPr>
      </w:pPr>
    </w:p>
    <w:p w14:paraId="2E480EAD" w14:textId="28C4BB01" w:rsidR="00575EF3" w:rsidRDefault="00575EF3" w:rsidP="000D20BE">
      <w:pPr>
        <w:tabs>
          <w:tab w:val="left" w:pos="3510"/>
          <w:tab w:val="left" w:pos="3676"/>
          <w:tab w:val="center" w:pos="4677"/>
        </w:tabs>
        <w:jc w:val="center"/>
        <w:rPr>
          <w:rFonts w:cs="Times New Roman"/>
          <w:sz w:val="24"/>
          <w:szCs w:val="24"/>
        </w:rPr>
      </w:pPr>
    </w:p>
    <w:p w14:paraId="1E46EED4" w14:textId="77777777" w:rsidR="0058787A" w:rsidRPr="009E5586" w:rsidRDefault="0058787A" w:rsidP="000D20BE">
      <w:pPr>
        <w:tabs>
          <w:tab w:val="left" w:pos="3510"/>
          <w:tab w:val="left" w:pos="3676"/>
          <w:tab w:val="center" w:pos="4677"/>
        </w:tabs>
        <w:jc w:val="center"/>
        <w:rPr>
          <w:rFonts w:cs="Times New Roman"/>
          <w:sz w:val="24"/>
          <w:szCs w:val="24"/>
        </w:rPr>
      </w:pPr>
      <w:bookmarkStart w:id="0" w:name="_GoBack"/>
      <w:bookmarkEnd w:id="0"/>
    </w:p>
    <w:p w14:paraId="1D67CC48" w14:textId="77777777" w:rsidR="00575EF3" w:rsidRPr="009E5586" w:rsidRDefault="00575EF3" w:rsidP="000D20BE">
      <w:pPr>
        <w:tabs>
          <w:tab w:val="left" w:pos="3510"/>
          <w:tab w:val="left" w:pos="3676"/>
          <w:tab w:val="center" w:pos="4677"/>
        </w:tabs>
        <w:jc w:val="center"/>
        <w:rPr>
          <w:rFonts w:cs="Times New Roman"/>
          <w:sz w:val="24"/>
          <w:szCs w:val="24"/>
        </w:rPr>
      </w:pPr>
    </w:p>
    <w:p w14:paraId="321499EF" w14:textId="77777777" w:rsidR="00575EF3" w:rsidRPr="009E5586" w:rsidRDefault="00575EF3" w:rsidP="000D20BE">
      <w:pPr>
        <w:tabs>
          <w:tab w:val="left" w:pos="3510"/>
          <w:tab w:val="left" w:pos="3676"/>
          <w:tab w:val="center" w:pos="4677"/>
        </w:tabs>
        <w:jc w:val="center"/>
        <w:rPr>
          <w:rFonts w:cs="Times New Roman"/>
          <w:sz w:val="24"/>
          <w:szCs w:val="24"/>
        </w:rPr>
      </w:pPr>
    </w:p>
    <w:p w14:paraId="5B622D01" w14:textId="77777777" w:rsidR="00575EF3" w:rsidRPr="009E5586" w:rsidRDefault="00575EF3" w:rsidP="000D20BE">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9E5586"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9E5586" w:rsidRDefault="00FF0FB1" w:rsidP="000D20BE">
            <w:pPr>
              <w:jc w:val="center"/>
              <w:rPr>
                <w:rFonts w:cs="Times New Roman"/>
                <w:b/>
                <w:bCs/>
                <w:sz w:val="24"/>
                <w:szCs w:val="24"/>
              </w:rPr>
            </w:pPr>
            <w:r w:rsidRPr="009E5586">
              <w:rPr>
                <w:rFonts w:cs="Times New Roman"/>
                <w:b/>
                <w:bCs/>
                <w:sz w:val="24"/>
                <w:szCs w:val="24"/>
              </w:rPr>
              <w:lastRenderedPageBreak/>
              <w:t xml:space="preserve">Паспорт Программы </w:t>
            </w:r>
          </w:p>
        </w:tc>
      </w:tr>
      <w:tr w:rsidR="00FF0FB1" w:rsidRPr="009E5586"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9E5586" w:rsidRDefault="00FF0FB1" w:rsidP="000D20BE">
            <w:pPr>
              <w:jc w:val="center"/>
              <w:rPr>
                <w:rFonts w:cs="Times New Roman"/>
                <w:b/>
                <w:bCs/>
                <w:sz w:val="24"/>
                <w:szCs w:val="24"/>
              </w:rPr>
            </w:pPr>
            <w:r w:rsidRPr="009E5586">
              <w:rPr>
                <w:rFonts w:cs="Times New Roman"/>
                <w:b/>
                <w:bCs/>
                <w:sz w:val="24"/>
                <w:szCs w:val="24"/>
              </w:rPr>
              <w:t>«Формирование современной комфортной городской среды»</w:t>
            </w:r>
          </w:p>
          <w:p w14:paraId="1939FB57" w14:textId="77777777" w:rsidR="00FF0FB1" w:rsidRPr="009E5586" w:rsidRDefault="00FF0FB1" w:rsidP="000D20BE">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9E5586"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2168D69B" w:rsidR="00FF0FB1" w:rsidRPr="009E5586" w:rsidRDefault="00FF0FB1" w:rsidP="00F34CDA">
                  <w:pPr>
                    <w:widowControl w:val="0"/>
                    <w:autoSpaceDE w:val="0"/>
                    <w:autoSpaceDN w:val="0"/>
                    <w:adjustRightInd w:val="0"/>
                    <w:rPr>
                      <w:rFonts w:eastAsiaTheme="minorEastAsia" w:cs="Times New Roman"/>
                      <w:i/>
                      <w:sz w:val="24"/>
                      <w:szCs w:val="24"/>
                    </w:rPr>
                  </w:pPr>
                  <w:r w:rsidRPr="009E5586">
                    <w:rPr>
                      <w:rFonts w:eastAsiaTheme="minorEastAsia" w:cs="Times New Roman"/>
                      <w:sz w:val="24"/>
                      <w:szCs w:val="24"/>
                    </w:rPr>
                    <w:t xml:space="preserve">Заместитель главы администрации городского округа Домодедово </w:t>
                  </w:r>
                  <w:r w:rsidR="00F34CDA">
                    <w:rPr>
                      <w:rFonts w:eastAsiaTheme="minorEastAsia" w:cs="Times New Roman"/>
                      <w:sz w:val="24"/>
                      <w:szCs w:val="24"/>
                    </w:rPr>
                    <w:t>Д.С. Негорожин</w:t>
                  </w:r>
                </w:p>
              </w:tc>
            </w:tr>
            <w:tr w:rsidR="00FF0FB1" w:rsidRPr="009E5586"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9E5586"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9E5586"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Подпрограмма I "Комфортная городская среда"</w:t>
                  </w:r>
                </w:p>
                <w:p w14:paraId="50CD8D35" w14:textId="1B085D9E"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 xml:space="preserve">Подпрограмма II </w:t>
                  </w:r>
                  <w:r w:rsidR="00F34A32" w:rsidRPr="009E5586">
                    <w:rPr>
                      <w:rFonts w:eastAsiaTheme="minorEastAsia" w:cs="Times New Roman"/>
                      <w:sz w:val="24"/>
                      <w:szCs w:val="24"/>
                    </w:rPr>
                    <w:t>"</w:t>
                  </w:r>
                  <w:r w:rsidR="002748B3" w:rsidRPr="009E5586">
                    <w:rPr>
                      <w:rFonts w:eastAsiaTheme="minorEastAsia"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p>
                <w:p w14:paraId="6FF585AC" w14:textId="00E78FF5"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 xml:space="preserve">Подпрограмма III </w:t>
                  </w:r>
                  <w:r w:rsidR="00F34A32" w:rsidRPr="009E5586">
                    <w:rPr>
                      <w:rFonts w:eastAsiaTheme="minorEastAsia" w:cs="Times New Roman"/>
                      <w:sz w:val="24"/>
                      <w:szCs w:val="24"/>
                    </w:rPr>
                    <w:t xml:space="preserve">"Обеспечивающая подпрограмма </w:t>
                  </w:r>
                  <w:r w:rsidR="002C683C" w:rsidRPr="009E5586">
                    <w:rPr>
                      <w:rFonts w:eastAsiaTheme="minorEastAsia" w:cs="Times New Roman"/>
                      <w:sz w:val="24"/>
                      <w:szCs w:val="24"/>
                    </w:rPr>
                    <w:t>"</w:t>
                  </w:r>
                </w:p>
                <w:p w14:paraId="78AF182C" w14:textId="315164D1" w:rsidR="00920C8E" w:rsidRPr="009E5586" w:rsidRDefault="00920C8E" w:rsidP="00F34A32">
                  <w:pPr>
                    <w:widowControl w:val="0"/>
                    <w:autoSpaceDE w:val="0"/>
                    <w:autoSpaceDN w:val="0"/>
                    <w:adjustRightInd w:val="0"/>
                    <w:rPr>
                      <w:rFonts w:eastAsiaTheme="minorEastAsia" w:cs="Times New Roman"/>
                      <w:i/>
                      <w:sz w:val="24"/>
                      <w:szCs w:val="24"/>
                    </w:rPr>
                  </w:pPr>
                </w:p>
              </w:tc>
            </w:tr>
            <w:tr w:rsidR="00FF0FB1" w:rsidRPr="009E5586"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9E5586" w:rsidRDefault="00FF0FB1" w:rsidP="000D20BE">
                  <w:pPr>
                    <w:widowControl w:val="0"/>
                    <w:autoSpaceDE w:val="0"/>
                    <w:autoSpaceDN w:val="0"/>
                    <w:adjustRightInd w:val="0"/>
                    <w:rPr>
                      <w:rFonts w:eastAsiaTheme="minorEastAsia" w:cs="Times New Roman"/>
                      <w:sz w:val="24"/>
                      <w:szCs w:val="24"/>
                    </w:rPr>
                  </w:pPr>
                  <w:bookmarkStart w:id="1" w:name="sub_101"/>
                  <w:r w:rsidRPr="009E5586">
                    <w:rPr>
                      <w:rFonts w:eastAsiaTheme="minorEastAsia" w:cs="Times New Roman"/>
                      <w:sz w:val="24"/>
                      <w:szCs w:val="24"/>
                    </w:rPr>
                    <w:t xml:space="preserve">Источники финансирования муниципальной программы, </w:t>
                  </w:r>
                </w:p>
                <w:p w14:paraId="607CC63A" w14:textId="77777777" w:rsidR="00FF0FB1" w:rsidRPr="009E5586" w:rsidRDefault="00FF0FB1" w:rsidP="000D20BE">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9E5586" w:rsidRDefault="00FF0FB1" w:rsidP="000D20BE">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Расходы (тыс. рублей)</w:t>
                  </w:r>
                </w:p>
              </w:tc>
            </w:tr>
            <w:tr w:rsidR="00B95287" w:rsidRPr="009E5586" w14:paraId="2923EA1F" w14:textId="77777777" w:rsidTr="005C7D7B">
              <w:trPr>
                <w:trHeight w:val="157"/>
              </w:trPr>
              <w:tc>
                <w:tcPr>
                  <w:tcW w:w="3544" w:type="dxa"/>
                  <w:vMerge/>
                  <w:tcBorders>
                    <w:top w:val="nil"/>
                    <w:bottom w:val="nil"/>
                    <w:right w:val="nil"/>
                  </w:tcBorders>
                </w:tcPr>
                <w:p w14:paraId="52FD16EC" w14:textId="77777777" w:rsidR="00B95287" w:rsidRPr="009E5586" w:rsidRDefault="00B95287" w:rsidP="00B95287">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B95287" w:rsidRPr="009E5586" w:rsidRDefault="00B95287" w:rsidP="00B95287">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1BDABC2C" w:rsidR="00B95287" w:rsidRPr="009E5586" w:rsidRDefault="00B95287" w:rsidP="00F34CDA">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w:t>
                  </w:r>
                  <w:r w:rsidR="00F34CDA">
                    <w:rPr>
                      <w:rFonts w:eastAsiaTheme="minorEastAsia" w:cs="Times New Roman"/>
                      <w:sz w:val="24"/>
                      <w:szCs w:val="24"/>
                    </w:rPr>
                    <w:t>6</w:t>
                  </w:r>
                  <w:r w:rsidRPr="009E5586">
                    <w:rPr>
                      <w:rFonts w:eastAsiaTheme="minorEastAsia" w:cs="Times New Roman"/>
                      <w:sz w:val="24"/>
                      <w:szCs w:val="24"/>
                    </w:rPr>
                    <w:t> год</w:t>
                  </w:r>
                </w:p>
              </w:tc>
              <w:tc>
                <w:tcPr>
                  <w:tcW w:w="1525" w:type="dxa"/>
                  <w:tcBorders>
                    <w:top w:val="single" w:sz="4" w:space="0" w:color="auto"/>
                    <w:left w:val="single" w:sz="4" w:space="0" w:color="auto"/>
                    <w:bottom w:val="nil"/>
                    <w:right w:val="nil"/>
                  </w:tcBorders>
                </w:tcPr>
                <w:p w14:paraId="3857BDCE" w14:textId="71FF76AB" w:rsidR="00B95287" w:rsidRPr="009E5586" w:rsidRDefault="00B95287" w:rsidP="00F34CDA">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w:t>
                  </w:r>
                  <w:r w:rsidR="00F34CDA">
                    <w:rPr>
                      <w:rFonts w:eastAsiaTheme="minorEastAsia" w:cs="Times New Roman"/>
                      <w:sz w:val="24"/>
                      <w:szCs w:val="24"/>
                    </w:rPr>
                    <w:t>7</w:t>
                  </w:r>
                  <w:r w:rsidRPr="009E5586">
                    <w:rPr>
                      <w:rFonts w:eastAsiaTheme="minorEastAsia" w:cs="Times New Roman"/>
                      <w:sz w:val="24"/>
                      <w:szCs w:val="24"/>
                    </w:rPr>
                    <w:t> год</w:t>
                  </w:r>
                </w:p>
              </w:tc>
              <w:tc>
                <w:tcPr>
                  <w:tcW w:w="1595" w:type="dxa"/>
                  <w:tcBorders>
                    <w:top w:val="single" w:sz="4" w:space="0" w:color="auto"/>
                    <w:left w:val="single" w:sz="4" w:space="0" w:color="auto"/>
                    <w:bottom w:val="nil"/>
                    <w:right w:val="nil"/>
                  </w:tcBorders>
                </w:tcPr>
                <w:p w14:paraId="191966D9" w14:textId="5AB10B11" w:rsidR="00B95287" w:rsidRPr="009E5586" w:rsidRDefault="00B95287" w:rsidP="00F34CDA">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w:t>
                  </w:r>
                  <w:r w:rsidR="00F34CDA">
                    <w:rPr>
                      <w:rFonts w:eastAsiaTheme="minorEastAsia" w:cs="Times New Roman"/>
                      <w:sz w:val="24"/>
                      <w:szCs w:val="24"/>
                    </w:rPr>
                    <w:t>8</w:t>
                  </w:r>
                  <w:r w:rsidRPr="009E5586">
                    <w:rPr>
                      <w:rFonts w:eastAsiaTheme="minorEastAsia" w:cs="Times New Roman"/>
                      <w:sz w:val="24"/>
                      <w:szCs w:val="24"/>
                    </w:rPr>
                    <w:t> год</w:t>
                  </w:r>
                </w:p>
              </w:tc>
              <w:tc>
                <w:tcPr>
                  <w:tcW w:w="1755" w:type="dxa"/>
                  <w:tcBorders>
                    <w:top w:val="single" w:sz="4" w:space="0" w:color="auto"/>
                    <w:left w:val="single" w:sz="4" w:space="0" w:color="auto"/>
                    <w:bottom w:val="nil"/>
                    <w:right w:val="nil"/>
                  </w:tcBorders>
                </w:tcPr>
                <w:p w14:paraId="7E8B5298" w14:textId="5B37361A" w:rsidR="00B95287" w:rsidRPr="009E5586" w:rsidRDefault="00B95287" w:rsidP="00F34CDA">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202</w:t>
                  </w:r>
                  <w:r w:rsidR="00F34CDA">
                    <w:rPr>
                      <w:rFonts w:eastAsiaTheme="minorEastAsia" w:cs="Times New Roman"/>
                      <w:sz w:val="24"/>
                      <w:szCs w:val="24"/>
                    </w:rPr>
                    <w:t>9</w:t>
                  </w:r>
                  <w:r w:rsidRPr="009E5586">
                    <w:rPr>
                      <w:rFonts w:eastAsiaTheme="minorEastAsia" w:cs="Times New Roman"/>
                      <w:sz w:val="24"/>
                      <w:szCs w:val="24"/>
                    </w:rPr>
                    <w:t> год</w:t>
                  </w:r>
                </w:p>
              </w:tc>
              <w:tc>
                <w:tcPr>
                  <w:tcW w:w="1597" w:type="dxa"/>
                  <w:tcBorders>
                    <w:top w:val="single" w:sz="4" w:space="0" w:color="auto"/>
                    <w:left w:val="single" w:sz="4" w:space="0" w:color="auto"/>
                    <w:bottom w:val="nil"/>
                  </w:tcBorders>
                </w:tcPr>
                <w:p w14:paraId="41EC8129" w14:textId="24F0FFF2" w:rsidR="00B95287" w:rsidRPr="009E5586" w:rsidRDefault="00B95287" w:rsidP="00F34CDA">
                  <w:pPr>
                    <w:widowControl w:val="0"/>
                    <w:autoSpaceDE w:val="0"/>
                    <w:autoSpaceDN w:val="0"/>
                    <w:adjustRightInd w:val="0"/>
                    <w:jc w:val="center"/>
                    <w:rPr>
                      <w:rFonts w:eastAsiaTheme="minorEastAsia" w:cs="Times New Roman"/>
                      <w:sz w:val="24"/>
                      <w:szCs w:val="24"/>
                    </w:rPr>
                  </w:pPr>
                  <w:r w:rsidRPr="009E5586">
                    <w:rPr>
                      <w:rFonts w:eastAsiaTheme="minorEastAsia" w:cs="Times New Roman"/>
                      <w:sz w:val="24"/>
                      <w:szCs w:val="24"/>
                    </w:rPr>
                    <w:t>20</w:t>
                  </w:r>
                  <w:r w:rsidR="00F34CDA">
                    <w:rPr>
                      <w:rFonts w:eastAsiaTheme="minorEastAsia" w:cs="Times New Roman"/>
                      <w:sz w:val="24"/>
                      <w:szCs w:val="24"/>
                    </w:rPr>
                    <w:t>30</w:t>
                  </w:r>
                  <w:r w:rsidRPr="009E5586">
                    <w:rPr>
                      <w:rFonts w:eastAsiaTheme="minorEastAsia" w:cs="Times New Roman"/>
                      <w:sz w:val="24"/>
                      <w:szCs w:val="24"/>
                    </w:rPr>
                    <w:t> год</w:t>
                  </w:r>
                </w:p>
              </w:tc>
            </w:tr>
            <w:tr w:rsidR="00CA544C" w:rsidRPr="009E5586"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CA544C" w:rsidRPr="009E5586" w:rsidRDefault="00CA544C"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Средства федерального бюджета</w:t>
                  </w:r>
                </w:p>
                <w:p w14:paraId="6E494A7D" w14:textId="77777777" w:rsidR="00CA544C" w:rsidRPr="009E5586" w:rsidRDefault="00CA544C" w:rsidP="00F34A32">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0F776676" w:rsidR="00CA544C" w:rsidRPr="00F34CDA" w:rsidRDefault="00CA544C" w:rsidP="001D3CD5">
                  <w:pPr>
                    <w:jc w:val="center"/>
                    <w:rPr>
                      <w:bCs/>
                      <w:iCs/>
                      <w:sz w:val="24"/>
                      <w:szCs w:val="24"/>
                      <w:highlight w:val="yellow"/>
                    </w:rPr>
                  </w:pPr>
                  <w:r w:rsidRPr="00F34CDA">
                    <w:rPr>
                      <w:b/>
                      <w:bCs/>
                      <w:sz w:val="22"/>
                      <w:highlight w:val="yellow"/>
                    </w:rPr>
                    <w:t>14</w:t>
                  </w:r>
                  <w:r w:rsidR="001D3CD5" w:rsidRPr="00F34CDA">
                    <w:rPr>
                      <w:b/>
                      <w:bCs/>
                      <w:sz w:val="22"/>
                      <w:highlight w:val="yellow"/>
                    </w:rPr>
                    <w:t>3</w:t>
                  </w:r>
                  <w:r w:rsidRPr="00F34CDA">
                    <w:rPr>
                      <w:b/>
                      <w:bCs/>
                      <w:sz w:val="22"/>
                      <w:highlight w:val="yellow"/>
                    </w:rPr>
                    <w:t xml:space="preserve"> 2</w:t>
                  </w:r>
                  <w:r w:rsidR="001D3CD5" w:rsidRPr="00F34CDA">
                    <w:rPr>
                      <w:b/>
                      <w:bCs/>
                      <w:sz w:val="22"/>
                      <w:highlight w:val="yellow"/>
                    </w:rPr>
                    <w:t>8</w:t>
                  </w:r>
                  <w:r w:rsidRPr="00F34CDA">
                    <w:rPr>
                      <w:b/>
                      <w:bCs/>
                      <w:sz w:val="22"/>
                      <w:highlight w:val="yellow"/>
                    </w:rPr>
                    <w:t>2,</w:t>
                  </w:r>
                  <w:r w:rsidR="001D3CD5" w:rsidRPr="00F34CDA">
                    <w:rPr>
                      <w:b/>
                      <w:bCs/>
                      <w:sz w:val="22"/>
                      <w:highlight w:val="yellow"/>
                    </w:rPr>
                    <w:t>52</w:t>
                  </w:r>
                </w:p>
              </w:tc>
              <w:tc>
                <w:tcPr>
                  <w:tcW w:w="1915" w:type="dxa"/>
                  <w:tcBorders>
                    <w:top w:val="single" w:sz="4" w:space="0" w:color="auto"/>
                    <w:left w:val="nil"/>
                    <w:bottom w:val="single" w:sz="4" w:space="0" w:color="auto"/>
                    <w:right w:val="single" w:sz="4" w:space="0" w:color="auto"/>
                  </w:tcBorders>
                  <w:shd w:val="clear" w:color="auto" w:fill="auto"/>
                </w:tcPr>
                <w:p w14:paraId="1224DE08" w14:textId="7AE0D8D1" w:rsidR="00CA544C" w:rsidRPr="00F34CDA" w:rsidRDefault="00CA544C" w:rsidP="001D3CD5">
                  <w:pPr>
                    <w:jc w:val="center"/>
                    <w:rPr>
                      <w:bCs/>
                      <w:iCs/>
                      <w:sz w:val="24"/>
                      <w:szCs w:val="24"/>
                      <w:highlight w:val="yellow"/>
                    </w:rPr>
                  </w:pPr>
                  <w:r w:rsidRPr="00F34CDA">
                    <w:rPr>
                      <w:b/>
                      <w:bCs/>
                      <w:sz w:val="22"/>
                      <w:highlight w:val="yellow"/>
                    </w:rPr>
                    <w:t>14</w:t>
                  </w:r>
                  <w:r w:rsidR="001D3CD5" w:rsidRPr="00F34CDA">
                    <w:rPr>
                      <w:b/>
                      <w:bCs/>
                      <w:sz w:val="22"/>
                      <w:highlight w:val="yellow"/>
                    </w:rPr>
                    <w:t>3</w:t>
                  </w:r>
                  <w:r w:rsidRPr="00F34CDA">
                    <w:rPr>
                      <w:b/>
                      <w:bCs/>
                      <w:sz w:val="22"/>
                      <w:highlight w:val="yellow"/>
                    </w:rPr>
                    <w:t xml:space="preserve"> 2</w:t>
                  </w:r>
                  <w:r w:rsidR="001D3CD5" w:rsidRPr="00F34CDA">
                    <w:rPr>
                      <w:b/>
                      <w:bCs/>
                      <w:sz w:val="22"/>
                      <w:highlight w:val="yellow"/>
                    </w:rPr>
                    <w:t>82</w:t>
                  </w:r>
                  <w:r w:rsidRPr="00F34CDA">
                    <w:rPr>
                      <w:b/>
                      <w:bCs/>
                      <w:sz w:val="22"/>
                      <w:highlight w:val="yellow"/>
                    </w:rPr>
                    <w:t>,</w:t>
                  </w:r>
                  <w:r w:rsidR="001D3CD5" w:rsidRPr="00F34CDA">
                    <w:rPr>
                      <w:b/>
                      <w:bCs/>
                      <w:sz w:val="22"/>
                      <w:highlight w:val="yellow"/>
                    </w:rPr>
                    <w:t>52</w:t>
                  </w:r>
                </w:p>
              </w:tc>
              <w:tc>
                <w:tcPr>
                  <w:tcW w:w="1525" w:type="dxa"/>
                  <w:tcBorders>
                    <w:top w:val="single" w:sz="4" w:space="0" w:color="auto"/>
                    <w:left w:val="nil"/>
                    <w:bottom w:val="single" w:sz="4" w:space="0" w:color="auto"/>
                    <w:right w:val="single" w:sz="4" w:space="0" w:color="auto"/>
                  </w:tcBorders>
                  <w:shd w:val="clear" w:color="auto" w:fill="auto"/>
                </w:tcPr>
                <w:p w14:paraId="2B66A017" w14:textId="3267B963" w:rsidR="00CA544C" w:rsidRPr="00F34CDA" w:rsidRDefault="00CA544C" w:rsidP="00F34A32">
                  <w:pPr>
                    <w:jc w:val="center"/>
                    <w:rPr>
                      <w:bCs/>
                      <w:iCs/>
                      <w:sz w:val="24"/>
                      <w:szCs w:val="24"/>
                      <w:highlight w:val="yellow"/>
                    </w:rPr>
                  </w:pPr>
                  <w:r w:rsidRPr="00F34CDA">
                    <w:rPr>
                      <w:b/>
                      <w:bCs/>
                      <w:sz w:val="22"/>
                      <w:highlight w:val="yellow"/>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3ED79D65" w:rsidR="00CA544C" w:rsidRPr="00F34CDA" w:rsidRDefault="00CA544C" w:rsidP="00F34A32">
                  <w:pPr>
                    <w:jc w:val="center"/>
                    <w:rPr>
                      <w:bCs/>
                      <w:iCs/>
                      <w:sz w:val="24"/>
                      <w:szCs w:val="24"/>
                      <w:highlight w:val="yellow"/>
                    </w:rPr>
                  </w:pPr>
                  <w:r w:rsidRPr="00F34CDA">
                    <w:rPr>
                      <w:b/>
                      <w:bCs/>
                      <w:sz w:val="22"/>
                      <w:highlight w:val="yellow"/>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455CDEC7" w:rsidR="00CA544C" w:rsidRPr="00F34CDA" w:rsidRDefault="00CA544C" w:rsidP="00F34A32">
                  <w:pPr>
                    <w:jc w:val="center"/>
                    <w:rPr>
                      <w:bCs/>
                      <w:iCs/>
                      <w:sz w:val="24"/>
                      <w:szCs w:val="24"/>
                      <w:highlight w:val="yellow"/>
                    </w:rPr>
                  </w:pPr>
                  <w:r w:rsidRPr="00F34CDA">
                    <w:rPr>
                      <w:b/>
                      <w:bCs/>
                      <w:sz w:val="22"/>
                      <w:highlight w:val="yellow"/>
                    </w:rPr>
                    <w:t>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74894F70" w:rsidR="00CA544C" w:rsidRPr="00F34CDA" w:rsidRDefault="00CA544C" w:rsidP="00F34A32">
                  <w:pPr>
                    <w:jc w:val="center"/>
                    <w:rPr>
                      <w:bCs/>
                      <w:iCs/>
                      <w:sz w:val="24"/>
                      <w:szCs w:val="24"/>
                      <w:highlight w:val="yellow"/>
                    </w:rPr>
                  </w:pPr>
                  <w:r w:rsidRPr="00F34CDA">
                    <w:rPr>
                      <w:b/>
                      <w:bCs/>
                      <w:sz w:val="22"/>
                      <w:highlight w:val="yellow"/>
                    </w:rPr>
                    <w:t>0,00</w:t>
                  </w:r>
                </w:p>
              </w:tc>
            </w:tr>
            <w:tr w:rsidR="00CA544C" w:rsidRPr="009E5586"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CA544C" w:rsidRPr="009E5586" w:rsidRDefault="00CA544C"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Средства бюджета Московской области</w:t>
                  </w:r>
                </w:p>
                <w:p w14:paraId="3427862E" w14:textId="77777777" w:rsidR="00CA544C" w:rsidRPr="009E5586" w:rsidRDefault="00CA544C" w:rsidP="00F34A32">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56D5A566" w:rsidR="00CA544C" w:rsidRPr="00F34CDA" w:rsidRDefault="001D3CD5" w:rsidP="00F34A32">
                  <w:pPr>
                    <w:jc w:val="center"/>
                    <w:rPr>
                      <w:bCs/>
                      <w:iCs/>
                      <w:sz w:val="24"/>
                      <w:szCs w:val="24"/>
                      <w:highlight w:val="yellow"/>
                    </w:rPr>
                  </w:pPr>
                  <w:r w:rsidRPr="00F34CDA">
                    <w:rPr>
                      <w:b/>
                      <w:bCs/>
                      <w:sz w:val="22"/>
                      <w:highlight w:val="yellow"/>
                    </w:rPr>
                    <w:t>1 028 706,52</w:t>
                  </w:r>
                </w:p>
              </w:tc>
              <w:tc>
                <w:tcPr>
                  <w:tcW w:w="1915" w:type="dxa"/>
                  <w:tcBorders>
                    <w:top w:val="nil"/>
                    <w:left w:val="nil"/>
                    <w:bottom w:val="single" w:sz="4" w:space="0" w:color="auto"/>
                    <w:right w:val="single" w:sz="4" w:space="0" w:color="auto"/>
                  </w:tcBorders>
                  <w:shd w:val="clear" w:color="auto" w:fill="auto"/>
                </w:tcPr>
                <w:p w14:paraId="7A16734A" w14:textId="19A502A3" w:rsidR="00CA544C" w:rsidRPr="00F34CDA" w:rsidRDefault="00CA544C" w:rsidP="001D3CD5">
                  <w:pPr>
                    <w:jc w:val="center"/>
                    <w:rPr>
                      <w:bCs/>
                      <w:iCs/>
                      <w:sz w:val="24"/>
                      <w:szCs w:val="24"/>
                      <w:highlight w:val="yellow"/>
                    </w:rPr>
                  </w:pPr>
                  <w:r w:rsidRPr="00F34CDA">
                    <w:rPr>
                      <w:b/>
                      <w:bCs/>
                      <w:sz w:val="22"/>
                      <w:highlight w:val="yellow"/>
                    </w:rPr>
                    <w:t>13</w:t>
                  </w:r>
                  <w:r w:rsidR="001D3CD5" w:rsidRPr="00F34CDA">
                    <w:rPr>
                      <w:b/>
                      <w:bCs/>
                      <w:sz w:val="22"/>
                      <w:highlight w:val="yellow"/>
                    </w:rPr>
                    <w:t>9</w:t>
                  </w:r>
                  <w:r w:rsidRPr="00F34CDA">
                    <w:rPr>
                      <w:b/>
                      <w:bCs/>
                      <w:sz w:val="22"/>
                      <w:highlight w:val="yellow"/>
                    </w:rPr>
                    <w:t xml:space="preserve"> </w:t>
                  </w:r>
                  <w:r w:rsidR="001D3CD5" w:rsidRPr="00F34CDA">
                    <w:rPr>
                      <w:b/>
                      <w:bCs/>
                      <w:sz w:val="22"/>
                      <w:highlight w:val="yellow"/>
                    </w:rPr>
                    <w:t>329</w:t>
                  </w:r>
                  <w:r w:rsidRPr="00F34CDA">
                    <w:rPr>
                      <w:b/>
                      <w:bCs/>
                      <w:sz w:val="22"/>
                      <w:highlight w:val="yellow"/>
                    </w:rPr>
                    <w:t>,</w:t>
                  </w:r>
                  <w:r w:rsidR="001D3CD5" w:rsidRPr="00F34CDA">
                    <w:rPr>
                      <w:b/>
                      <w:bCs/>
                      <w:sz w:val="22"/>
                      <w:highlight w:val="yellow"/>
                    </w:rPr>
                    <w:t>18</w:t>
                  </w:r>
                </w:p>
              </w:tc>
              <w:tc>
                <w:tcPr>
                  <w:tcW w:w="1525" w:type="dxa"/>
                  <w:tcBorders>
                    <w:top w:val="nil"/>
                    <w:left w:val="nil"/>
                    <w:bottom w:val="single" w:sz="4" w:space="0" w:color="auto"/>
                    <w:right w:val="single" w:sz="4" w:space="0" w:color="auto"/>
                  </w:tcBorders>
                  <w:shd w:val="clear" w:color="auto" w:fill="auto"/>
                </w:tcPr>
                <w:p w14:paraId="4A51D04C" w14:textId="6AD1FA61" w:rsidR="00CA544C" w:rsidRPr="00F34CDA" w:rsidRDefault="001D3CD5" w:rsidP="00F34A32">
                  <w:pPr>
                    <w:jc w:val="center"/>
                    <w:rPr>
                      <w:bCs/>
                      <w:iCs/>
                      <w:sz w:val="24"/>
                      <w:szCs w:val="24"/>
                      <w:highlight w:val="yellow"/>
                    </w:rPr>
                  </w:pPr>
                  <w:r w:rsidRPr="00F34CDA">
                    <w:rPr>
                      <w:b/>
                      <w:bCs/>
                      <w:sz w:val="22"/>
                      <w:highlight w:val="yellow"/>
                    </w:rPr>
                    <w:t>746 191,72</w:t>
                  </w:r>
                </w:p>
              </w:tc>
              <w:tc>
                <w:tcPr>
                  <w:tcW w:w="1595" w:type="dxa"/>
                  <w:tcBorders>
                    <w:top w:val="nil"/>
                    <w:left w:val="nil"/>
                    <w:bottom w:val="single" w:sz="4" w:space="0" w:color="auto"/>
                    <w:right w:val="single" w:sz="4" w:space="0" w:color="auto"/>
                  </w:tcBorders>
                  <w:shd w:val="clear" w:color="auto" w:fill="auto"/>
                </w:tcPr>
                <w:p w14:paraId="3FB0DB89" w14:textId="0004C792" w:rsidR="00CA544C" w:rsidRPr="00F34CDA" w:rsidRDefault="001D3CD5" w:rsidP="00F34A32">
                  <w:pPr>
                    <w:jc w:val="center"/>
                    <w:rPr>
                      <w:bCs/>
                      <w:iCs/>
                      <w:sz w:val="24"/>
                      <w:szCs w:val="24"/>
                      <w:highlight w:val="yellow"/>
                    </w:rPr>
                  </w:pPr>
                  <w:r w:rsidRPr="00F34CDA">
                    <w:rPr>
                      <w:b/>
                      <w:bCs/>
                      <w:sz w:val="22"/>
                      <w:highlight w:val="yellow"/>
                    </w:rPr>
                    <w:t>143 185,62</w:t>
                  </w:r>
                </w:p>
              </w:tc>
              <w:tc>
                <w:tcPr>
                  <w:tcW w:w="1755" w:type="dxa"/>
                  <w:tcBorders>
                    <w:top w:val="nil"/>
                    <w:left w:val="nil"/>
                    <w:bottom w:val="single" w:sz="4" w:space="0" w:color="auto"/>
                    <w:right w:val="single" w:sz="4" w:space="0" w:color="auto"/>
                  </w:tcBorders>
                  <w:shd w:val="clear" w:color="auto" w:fill="auto"/>
                </w:tcPr>
                <w:p w14:paraId="7EE2EE22" w14:textId="101A6DCA" w:rsidR="00CA544C" w:rsidRPr="00F34CDA" w:rsidRDefault="001D3CD5" w:rsidP="00F34A32">
                  <w:pPr>
                    <w:jc w:val="center"/>
                    <w:rPr>
                      <w:bCs/>
                      <w:iCs/>
                      <w:sz w:val="24"/>
                      <w:szCs w:val="24"/>
                      <w:highlight w:val="yellow"/>
                    </w:rPr>
                  </w:pPr>
                  <w:r w:rsidRPr="00F34CDA">
                    <w:rPr>
                      <w:b/>
                      <w:bCs/>
                      <w:sz w:val="22"/>
                      <w:highlight w:val="yellow"/>
                    </w:rPr>
                    <w:t>0,00</w:t>
                  </w:r>
                </w:p>
              </w:tc>
              <w:tc>
                <w:tcPr>
                  <w:tcW w:w="1597" w:type="dxa"/>
                  <w:tcBorders>
                    <w:top w:val="nil"/>
                    <w:left w:val="nil"/>
                    <w:bottom w:val="single" w:sz="4" w:space="0" w:color="auto"/>
                    <w:right w:val="single" w:sz="4" w:space="0" w:color="auto"/>
                  </w:tcBorders>
                  <w:shd w:val="clear" w:color="auto" w:fill="auto"/>
                </w:tcPr>
                <w:p w14:paraId="62D6869C" w14:textId="0ED61083" w:rsidR="00CA544C" w:rsidRPr="00F34CDA" w:rsidRDefault="001D3CD5" w:rsidP="00F34A32">
                  <w:pPr>
                    <w:jc w:val="center"/>
                    <w:rPr>
                      <w:bCs/>
                      <w:iCs/>
                      <w:sz w:val="24"/>
                      <w:szCs w:val="24"/>
                      <w:highlight w:val="yellow"/>
                    </w:rPr>
                  </w:pPr>
                  <w:r w:rsidRPr="00F34CDA">
                    <w:rPr>
                      <w:b/>
                      <w:bCs/>
                      <w:sz w:val="22"/>
                      <w:highlight w:val="yellow"/>
                    </w:rPr>
                    <w:t>0,00</w:t>
                  </w:r>
                </w:p>
              </w:tc>
            </w:tr>
            <w:tr w:rsidR="001D3CD5" w:rsidRPr="009E5586"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1D3CD5" w:rsidRPr="009E5586" w:rsidRDefault="001D3CD5" w:rsidP="001D3CD5">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05D3FAA5" w:rsidR="001D3CD5" w:rsidRPr="00F34CDA" w:rsidRDefault="001D3CD5" w:rsidP="001D3CD5">
                  <w:pPr>
                    <w:jc w:val="center"/>
                    <w:rPr>
                      <w:bCs/>
                      <w:iCs/>
                      <w:sz w:val="24"/>
                      <w:szCs w:val="24"/>
                      <w:highlight w:val="yellow"/>
                    </w:rPr>
                  </w:pPr>
                  <w:r w:rsidRPr="00F34CDA">
                    <w:rPr>
                      <w:b/>
                      <w:bCs/>
                      <w:sz w:val="22"/>
                      <w:highlight w:val="yellow"/>
                    </w:rPr>
                    <w:t>3 461 552,70</w:t>
                  </w:r>
                </w:p>
              </w:tc>
              <w:tc>
                <w:tcPr>
                  <w:tcW w:w="1915" w:type="dxa"/>
                  <w:tcBorders>
                    <w:top w:val="nil"/>
                    <w:left w:val="nil"/>
                    <w:bottom w:val="single" w:sz="4" w:space="0" w:color="auto"/>
                    <w:right w:val="single" w:sz="4" w:space="0" w:color="auto"/>
                  </w:tcBorders>
                  <w:shd w:val="clear" w:color="auto" w:fill="auto"/>
                </w:tcPr>
                <w:p w14:paraId="524CF5B7" w14:textId="3F4EFE05" w:rsidR="001D3CD5" w:rsidRPr="00F34CDA" w:rsidRDefault="001D3CD5" w:rsidP="001D3CD5">
                  <w:pPr>
                    <w:jc w:val="center"/>
                    <w:rPr>
                      <w:bCs/>
                      <w:iCs/>
                      <w:sz w:val="24"/>
                      <w:szCs w:val="24"/>
                      <w:highlight w:val="yellow"/>
                    </w:rPr>
                  </w:pPr>
                  <w:r w:rsidRPr="00F34CDA">
                    <w:rPr>
                      <w:b/>
                      <w:bCs/>
                      <w:sz w:val="22"/>
                      <w:highlight w:val="yellow"/>
                    </w:rPr>
                    <w:t>989 336,99</w:t>
                  </w:r>
                </w:p>
              </w:tc>
              <w:tc>
                <w:tcPr>
                  <w:tcW w:w="1525" w:type="dxa"/>
                  <w:tcBorders>
                    <w:top w:val="nil"/>
                    <w:left w:val="nil"/>
                    <w:bottom w:val="single" w:sz="4" w:space="0" w:color="auto"/>
                    <w:right w:val="single" w:sz="4" w:space="0" w:color="auto"/>
                  </w:tcBorders>
                  <w:shd w:val="clear" w:color="auto" w:fill="auto"/>
                </w:tcPr>
                <w:p w14:paraId="6D7B59C0" w14:textId="7F1AF957" w:rsidR="001D3CD5" w:rsidRPr="00F34CDA" w:rsidRDefault="001D3CD5" w:rsidP="001D3CD5">
                  <w:pPr>
                    <w:jc w:val="center"/>
                    <w:rPr>
                      <w:bCs/>
                      <w:iCs/>
                      <w:sz w:val="24"/>
                      <w:szCs w:val="24"/>
                      <w:highlight w:val="yellow"/>
                    </w:rPr>
                  </w:pPr>
                  <w:r w:rsidRPr="00F34CDA">
                    <w:rPr>
                      <w:b/>
                      <w:bCs/>
                      <w:sz w:val="22"/>
                      <w:highlight w:val="yellow"/>
                    </w:rPr>
                    <w:t>1 152 206,93</w:t>
                  </w:r>
                </w:p>
              </w:tc>
              <w:tc>
                <w:tcPr>
                  <w:tcW w:w="1595" w:type="dxa"/>
                  <w:tcBorders>
                    <w:top w:val="nil"/>
                    <w:left w:val="nil"/>
                    <w:bottom w:val="single" w:sz="4" w:space="0" w:color="auto"/>
                    <w:right w:val="single" w:sz="4" w:space="0" w:color="auto"/>
                  </w:tcBorders>
                  <w:shd w:val="clear" w:color="auto" w:fill="auto"/>
                </w:tcPr>
                <w:p w14:paraId="302F06A6" w14:textId="02FEA081" w:rsidR="001D3CD5" w:rsidRPr="00F34CDA" w:rsidRDefault="001D3CD5" w:rsidP="001D3CD5">
                  <w:pPr>
                    <w:jc w:val="center"/>
                    <w:rPr>
                      <w:bCs/>
                      <w:iCs/>
                      <w:sz w:val="24"/>
                      <w:szCs w:val="24"/>
                      <w:highlight w:val="yellow"/>
                    </w:rPr>
                  </w:pPr>
                  <w:r w:rsidRPr="00F34CDA">
                    <w:rPr>
                      <w:b/>
                      <w:bCs/>
                      <w:sz w:val="22"/>
                      <w:highlight w:val="yellow"/>
                    </w:rPr>
                    <w:t>846 899,78</w:t>
                  </w:r>
                </w:p>
              </w:tc>
              <w:tc>
                <w:tcPr>
                  <w:tcW w:w="1755" w:type="dxa"/>
                  <w:tcBorders>
                    <w:top w:val="nil"/>
                    <w:left w:val="nil"/>
                    <w:bottom w:val="single" w:sz="4" w:space="0" w:color="auto"/>
                    <w:right w:val="single" w:sz="4" w:space="0" w:color="auto"/>
                  </w:tcBorders>
                  <w:shd w:val="clear" w:color="auto" w:fill="auto"/>
                </w:tcPr>
                <w:p w14:paraId="171ED75D" w14:textId="6EC8D96F" w:rsidR="001D3CD5" w:rsidRPr="00F34CDA" w:rsidRDefault="001D3CD5" w:rsidP="001D3CD5">
                  <w:pPr>
                    <w:jc w:val="center"/>
                    <w:rPr>
                      <w:bCs/>
                      <w:iCs/>
                      <w:sz w:val="24"/>
                      <w:szCs w:val="24"/>
                      <w:highlight w:val="yellow"/>
                    </w:rPr>
                  </w:pPr>
                  <w:r w:rsidRPr="00F34CDA">
                    <w:rPr>
                      <w:b/>
                      <w:bCs/>
                      <w:sz w:val="22"/>
                      <w:highlight w:val="yellow"/>
                    </w:rPr>
                    <w:t>236 554,50</w:t>
                  </w:r>
                </w:p>
              </w:tc>
              <w:tc>
                <w:tcPr>
                  <w:tcW w:w="1597" w:type="dxa"/>
                  <w:tcBorders>
                    <w:top w:val="nil"/>
                    <w:left w:val="nil"/>
                    <w:bottom w:val="single" w:sz="4" w:space="0" w:color="auto"/>
                    <w:right w:val="single" w:sz="4" w:space="0" w:color="auto"/>
                  </w:tcBorders>
                  <w:shd w:val="clear" w:color="auto" w:fill="auto"/>
                </w:tcPr>
                <w:p w14:paraId="1538C216" w14:textId="05C70892" w:rsidR="001D3CD5" w:rsidRPr="00F34CDA" w:rsidRDefault="001D3CD5" w:rsidP="001D3CD5">
                  <w:pPr>
                    <w:jc w:val="center"/>
                    <w:rPr>
                      <w:bCs/>
                      <w:iCs/>
                      <w:sz w:val="24"/>
                      <w:szCs w:val="24"/>
                      <w:highlight w:val="yellow"/>
                    </w:rPr>
                  </w:pPr>
                  <w:r w:rsidRPr="00F34CDA">
                    <w:rPr>
                      <w:b/>
                      <w:bCs/>
                      <w:sz w:val="22"/>
                      <w:highlight w:val="yellow"/>
                    </w:rPr>
                    <w:t>236 554,50</w:t>
                  </w:r>
                </w:p>
              </w:tc>
            </w:tr>
            <w:tr w:rsidR="00F34A32" w:rsidRPr="009E5586"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F34A32" w:rsidRPr="009E5586" w:rsidRDefault="00F34A32"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Внебюджетные средства</w:t>
                  </w:r>
                </w:p>
                <w:p w14:paraId="325A4540" w14:textId="77777777" w:rsidR="00F34A32" w:rsidRPr="009E5586" w:rsidRDefault="00F34A32" w:rsidP="00F34A32">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2B74C220" w:rsidR="00F34A32" w:rsidRPr="00F34CDA" w:rsidRDefault="00F34A32" w:rsidP="00F34A32">
                  <w:pPr>
                    <w:jc w:val="center"/>
                    <w:rPr>
                      <w:bCs/>
                      <w:iCs/>
                      <w:sz w:val="24"/>
                      <w:szCs w:val="24"/>
                      <w:highlight w:val="yellow"/>
                    </w:rPr>
                  </w:pPr>
                  <w:r w:rsidRPr="00F34CDA">
                    <w:rPr>
                      <w:b/>
                      <w:bCs/>
                      <w:iCs/>
                      <w:sz w:val="22"/>
                      <w:highlight w:val="yellow"/>
                    </w:rPr>
                    <w:t>0,00</w:t>
                  </w:r>
                </w:p>
              </w:tc>
              <w:tc>
                <w:tcPr>
                  <w:tcW w:w="1915" w:type="dxa"/>
                  <w:tcBorders>
                    <w:top w:val="nil"/>
                    <w:left w:val="nil"/>
                    <w:bottom w:val="single" w:sz="4" w:space="0" w:color="auto"/>
                    <w:right w:val="single" w:sz="4" w:space="0" w:color="auto"/>
                  </w:tcBorders>
                  <w:shd w:val="clear" w:color="auto" w:fill="auto"/>
                </w:tcPr>
                <w:p w14:paraId="6F86A142" w14:textId="77156A99" w:rsidR="00F34A32" w:rsidRPr="00F34CDA" w:rsidRDefault="00F34A32" w:rsidP="00F34A32">
                  <w:pPr>
                    <w:jc w:val="center"/>
                    <w:rPr>
                      <w:bCs/>
                      <w:iCs/>
                      <w:sz w:val="24"/>
                      <w:szCs w:val="24"/>
                      <w:highlight w:val="yellow"/>
                    </w:rPr>
                  </w:pPr>
                  <w:r w:rsidRPr="00F34CDA">
                    <w:rPr>
                      <w:b/>
                      <w:bCs/>
                      <w:iCs/>
                      <w:sz w:val="22"/>
                      <w:highlight w:val="yellow"/>
                    </w:rPr>
                    <w:t>0,00</w:t>
                  </w:r>
                </w:p>
              </w:tc>
              <w:tc>
                <w:tcPr>
                  <w:tcW w:w="1525" w:type="dxa"/>
                  <w:tcBorders>
                    <w:top w:val="nil"/>
                    <w:left w:val="nil"/>
                    <w:bottom w:val="single" w:sz="4" w:space="0" w:color="auto"/>
                    <w:right w:val="single" w:sz="4" w:space="0" w:color="auto"/>
                  </w:tcBorders>
                  <w:shd w:val="clear" w:color="auto" w:fill="auto"/>
                </w:tcPr>
                <w:p w14:paraId="1AE554AB" w14:textId="3291F718" w:rsidR="00F34A32" w:rsidRPr="00F34CDA" w:rsidRDefault="00F34A32" w:rsidP="00F34A32">
                  <w:pPr>
                    <w:jc w:val="center"/>
                    <w:rPr>
                      <w:bCs/>
                      <w:iCs/>
                      <w:sz w:val="24"/>
                      <w:szCs w:val="24"/>
                      <w:highlight w:val="yellow"/>
                    </w:rPr>
                  </w:pPr>
                  <w:r w:rsidRPr="00F34CDA">
                    <w:rPr>
                      <w:b/>
                      <w:bCs/>
                      <w:iCs/>
                      <w:sz w:val="22"/>
                      <w:highlight w:val="yellow"/>
                    </w:rPr>
                    <w:t>0,00</w:t>
                  </w:r>
                </w:p>
              </w:tc>
              <w:tc>
                <w:tcPr>
                  <w:tcW w:w="1595" w:type="dxa"/>
                  <w:tcBorders>
                    <w:top w:val="nil"/>
                    <w:left w:val="nil"/>
                    <w:bottom w:val="single" w:sz="4" w:space="0" w:color="auto"/>
                    <w:right w:val="single" w:sz="4" w:space="0" w:color="auto"/>
                  </w:tcBorders>
                  <w:shd w:val="clear" w:color="auto" w:fill="auto"/>
                </w:tcPr>
                <w:p w14:paraId="6AEDE8FA" w14:textId="1FEF904A" w:rsidR="00F34A32" w:rsidRPr="00F34CDA" w:rsidRDefault="00F34A32" w:rsidP="00F34A32">
                  <w:pPr>
                    <w:jc w:val="center"/>
                    <w:rPr>
                      <w:bCs/>
                      <w:iCs/>
                      <w:sz w:val="24"/>
                      <w:szCs w:val="24"/>
                      <w:highlight w:val="yellow"/>
                    </w:rPr>
                  </w:pPr>
                  <w:r w:rsidRPr="00F34CDA">
                    <w:rPr>
                      <w:b/>
                      <w:bCs/>
                      <w:iCs/>
                      <w:sz w:val="22"/>
                      <w:highlight w:val="yellow"/>
                    </w:rPr>
                    <w:t>0,00</w:t>
                  </w:r>
                </w:p>
              </w:tc>
              <w:tc>
                <w:tcPr>
                  <w:tcW w:w="1755" w:type="dxa"/>
                  <w:tcBorders>
                    <w:top w:val="nil"/>
                    <w:left w:val="nil"/>
                    <w:bottom w:val="single" w:sz="4" w:space="0" w:color="auto"/>
                    <w:right w:val="single" w:sz="4" w:space="0" w:color="auto"/>
                  </w:tcBorders>
                  <w:shd w:val="clear" w:color="auto" w:fill="auto"/>
                </w:tcPr>
                <w:p w14:paraId="440FBC40" w14:textId="5EDA8249" w:rsidR="00F34A32" w:rsidRPr="00F34CDA" w:rsidRDefault="00F34A32" w:rsidP="00F34A32">
                  <w:pPr>
                    <w:jc w:val="center"/>
                    <w:rPr>
                      <w:bCs/>
                      <w:iCs/>
                      <w:sz w:val="24"/>
                      <w:szCs w:val="24"/>
                      <w:highlight w:val="yellow"/>
                    </w:rPr>
                  </w:pPr>
                  <w:r w:rsidRPr="00F34CDA">
                    <w:rPr>
                      <w:b/>
                      <w:bCs/>
                      <w:iCs/>
                      <w:sz w:val="22"/>
                      <w:highlight w:val="yellow"/>
                    </w:rPr>
                    <w:t>0,00</w:t>
                  </w:r>
                </w:p>
              </w:tc>
              <w:tc>
                <w:tcPr>
                  <w:tcW w:w="1597" w:type="dxa"/>
                  <w:tcBorders>
                    <w:top w:val="nil"/>
                    <w:left w:val="nil"/>
                    <w:bottom w:val="single" w:sz="4" w:space="0" w:color="auto"/>
                    <w:right w:val="single" w:sz="4" w:space="0" w:color="auto"/>
                  </w:tcBorders>
                  <w:shd w:val="clear" w:color="auto" w:fill="auto"/>
                </w:tcPr>
                <w:p w14:paraId="2AB5BFCA" w14:textId="46C05283" w:rsidR="00F34A32" w:rsidRPr="00F34CDA" w:rsidRDefault="00F34A32" w:rsidP="00F34A32">
                  <w:pPr>
                    <w:jc w:val="center"/>
                    <w:rPr>
                      <w:bCs/>
                      <w:iCs/>
                      <w:sz w:val="24"/>
                      <w:szCs w:val="24"/>
                      <w:highlight w:val="yellow"/>
                    </w:rPr>
                  </w:pPr>
                  <w:r w:rsidRPr="00F34CDA">
                    <w:rPr>
                      <w:b/>
                      <w:bCs/>
                      <w:iCs/>
                      <w:sz w:val="22"/>
                      <w:highlight w:val="yellow"/>
                    </w:rPr>
                    <w:t>0,00</w:t>
                  </w:r>
                </w:p>
              </w:tc>
            </w:tr>
            <w:tr w:rsidR="00CA544C" w:rsidRPr="009E5586"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CA544C" w:rsidRPr="009E5586" w:rsidRDefault="00CA544C" w:rsidP="00F34A32">
                  <w:pPr>
                    <w:widowControl w:val="0"/>
                    <w:autoSpaceDE w:val="0"/>
                    <w:autoSpaceDN w:val="0"/>
                    <w:adjustRightInd w:val="0"/>
                    <w:rPr>
                      <w:rFonts w:eastAsiaTheme="minorEastAsia" w:cs="Times New Roman"/>
                      <w:sz w:val="24"/>
                      <w:szCs w:val="24"/>
                    </w:rPr>
                  </w:pPr>
                  <w:r w:rsidRPr="009E5586">
                    <w:rPr>
                      <w:rFonts w:eastAsiaTheme="minorEastAsia" w:cs="Times New Roman"/>
                      <w:sz w:val="24"/>
                      <w:szCs w:val="24"/>
                    </w:rPr>
                    <w:t>Всего, в том числе по годам:</w:t>
                  </w:r>
                </w:p>
                <w:p w14:paraId="0C242C5A" w14:textId="77777777" w:rsidR="00CA544C" w:rsidRPr="009E5586" w:rsidRDefault="00CA544C" w:rsidP="00F34A32">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2C638C2" w14:textId="1E7CCC9E" w:rsidR="00CA544C" w:rsidRPr="00F34CDA" w:rsidRDefault="001D3CD5" w:rsidP="00F34A32">
                  <w:pPr>
                    <w:jc w:val="center"/>
                    <w:rPr>
                      <w:bCs/>
                      <w:iCs/>
                      <w:sz w:val="24"/>
                      <w:szCs w:val="24"/>
                      <w:highlight w:val="yellow"/>
                    </w:rPr>
                  </w:pPr>
                  <w:r w:rsidRPr="00F34CDA">
                    <w:rPr>
                      <w:b/>
                      <w:bCs/>
                      <w:sz w:val="22"/>
                      <w:highlight w:val="yellow"/>
                    </w:rPr>
                    <w:t>4 633 541,74</w:t>
                  </w:r>
                </w:p>
              </w:tc>
              <w:tc>
                <w:tcPr>
                  <w:tcW w:w="1915" w:type="dxa"/>
                  <w:tcBorders>
                    <w:top w:val="nil"/>
                    <w:left w:val="nil"/>
                    <w:bottom w:val="single" w:sz="4" w:space="0" w:color="auto"/>
                    <w:right w:val="single" w:sz="4" w:space="0" w:color="auto"/>
                  </w:tcBorders>
                  <w:shd w:val="clear" w:color="auto" w:fill="auto"/>
                </w:tcPr>
                <w:p w14:paraId="697C4FED" w14:textId="64771834" w:rsidR="00CA544C" w:rsidRPr="00F34CDA" w:rsidRDefault="001D3CD5" w:rsidP="00F34A32">
                  <w:pPr>
                    <w:jc w:val="center"/>
                    <w:rPr>
                      <w:bCs/>
                      <w:iCs/>
                      <w:sz w:val="24"/>
                      <w:szCs w:val="24"/>
                      <w:highlight w:val="yellow"/>
                    </w:rPr>
                  </w:pPr>
                  <w:r w:rsidRPr="00F34CDA">
                    <w:rPr>
                      <w:b/>
                      <w:bCs/>
                      <w:sz w:val="22"/>
                      <w:highlight w:val="yellow"/>
                    </w:rPr>
                    <w:t>1 271 948,69</w:t>
                  </w:r>
                </w:p>
              </w:tc>
              <w:tc>
                <w:tcPr>
                  <w:tcW w:w="1525" w:type="dxa"/>
                  <w:tcBorders>
                    <w:top w:val="nil"/>
                    <w:left w:val="nil"/>
                    <w:bottom w:val="single" w:sz="4" w:space="0" w:color="auto"/>
                    <w:right w:val="single" w:sz="4" w:space="0" w:color="auto"/>
                  </w:tcBorders>
                  <w:shd w:val="clear" w:color="auto" w:fill="auto"/>
                </w:tcPr>
                <w:p w14:paraId="6113350D" w14:textId="5E85DC5A" w:rsidR="00CA544C" w:rsidRPr="00F34CDA" w:rsidRDefault="001D3CD5" w:rsidP="00F34A32">
                  <w:pPr>
                    <w:jc w:val="center"/>
                    <w:rPr>
                      <w:bCs/>
                      <w:iCs/>
                      <w:sz w:val="24"/>
                      <w:szCs w:val="24"/>
                      <w:highlight w:val="yellow"/>
                    </w:rPr>
                  </w:pPr>
                  <w:r w:rsidRPr="00F34CDA">
                    <w:rPr>
                      <w:b/>
                      <w:bCs/>
                      <w:sz w:val="22"/>
                      <w:highlight w:val="yellow"/>
                    </w:rPr>
                    <w:t>1 898 398,65</w:t>
                  </w:r>
                </w:p>
              </w:tc>
              <w:tc>
                <w:tcPr>
                  <w:tcW w:w="1595" w:type="dxa"/>
                  <w:tcBorders>
                    <w:top w:val="nil"/>
                    <w:left w:val="nil"/>
                    <w:bottom w:val="single" w:sz="4" w:space="0" w:color="auto"/>
                    <w:right w:val="single" w:sz="4" w:space="0" w:color="auto"/>
                  </w:tcBorders>
                  <w:shd w:val="clear" w:color="auto" w:fill="auto"/>
                </w:tcPr>
                <w:p w14:paraId="38E71A86" w14:textId="48E3A353" w:rsidR="00CA544C" w:rsidRPr="00F34CDA" w:rsidRDefault="001D3CD5" w:rsidP="00F34A32">
                  <w:pPr>
                    <w:jc w:val="center"/>
                    <w:rPr>
                      <w:bCs/>
                      <w:iCs/>
                      <w:sz w:val="24"/>
                      <w:szCs w:val="24"/>
                      <w:highlight w:val="yellow"/>
                    </w:rPr>
                  </w:pPr>
                  <w:r w:rsidRPr="00F34CDA">
                    <w:rPr>
                      <w:b/>
                      <w:bCs/>
                      <w:sz w:val="22"/>
                      <w:highlight w:val="yellow"/>
                    </w:rPr>
                    <w:t>990 085,40</w:t>
                  </w:r>
                </w:p>
              </w:tc>
              <w:tc>
                <w:tcPr>
                  <w:tcW w:w="1755" w:type="dxa"/>
                  <w:tcBorders>
                    <w:top w:val="nil"/>
                    <w:left w:val="nil"/>
                    <w:bottom w:val="single" w:sz="4" w:space="0" w:color="auto"/>
                    <w:right w:val="single" w:sz="4" w:space="0" w:color="auto"/>
                  </w:tcBorders>
                  <w:shd w:val="clear" w:color="auto" w:fill="auto"/>
                </w:tcPr>
                <w:p w14:paraId="14F1689D" w14:textId="2B9FC547" w:rsidR="00CA544C" w:rsidRPr="00F34CDA" w:rsidRDefault="001D3CD5" w:rsidP="00F34A32">
                  <w:pPr>
                    <w:jc w:val="center"/>
                    <w:rPr>
                      <w:bCs/>
                      <w:iCs/>
                      <w:sz w:val="24"/>
                      <w:szCs w:val="24"/>
                      <w:highlight w:val="yellow"/>
                    </w:rPr>
                  </w:pPr>
                  <w:r w:rsidRPr="00F34CDA">
                    <w:rPr>
                      <w:b/>
                      <w:bCs/>
                      <w:sz w:val="22"/>
                      <w:highlight w:val="yellow"/>
                    </w:rPr>
                    <w:t>236 554,50</w:t>
                  </w:r>
                </w:p>
              </w:tc>
              <w:tc>
                <w:tcPr>
                  <w:tcW w:w="1597" w:type="dxa"/>
                  <w:tcBorders>
                    <w:top w:val="nil"/>
                    <w:left w:val="nil"/>
                    <w:bottom w:val="single" w:sz="4" w:space="0" w:color="auto"/>
                    <w:right w:val="single" w:sz="4" w:space="0" w:color="auto"/>
                  </w:tcBorders>
                  <w:shd w:val="clear" w:color="auto" w:fill="auto"/>
                </w:tcPr>
                <w:p w14:paraId="0C471206" w14:textId="61DAA241" w:rsidR="00CA544C" w:rsidRPr="00F34CDA" w:rsidRDefault="001D3CD5" w:rsidP="00F34A32">
                  <w:pPr>
                    <w:jc w:val="center"/>
                    <w:rPr>
                      <w:bCs/>
                      <w:iCs/>
                      <w:sz w:val="24"/>
                      <w:szCs w:val="24"/>
                      <w:highlight w:val="yellow"/>
                    </w:rPr>
                  </w:pPr>
                  <w:r w:rsidRPr="00F34CDA">
                    <w:rPr>
                      <w:b/>
                      <w:bCs/>
                      <w:sz w:val="22"/>
                      <w:highlight w:val="yellow"/>
                    </w:rPr>
                    <w:t>236 554,50</w:t>
                  </w:r>
                </w:p>
              </w:tc>
            </w:tr>
          </w:tbl>
          <w:p w14:paraId="001CDC1A" w14:textId="77777777" w:rsidR="00FF0FB1" w:rsidRPr="009E5586" w:rsidRDefault="00FF0FB1" w:rsidP="000D20BE">
            <w:pPr>
              <w:jc w:val="center"/>
              <w:rPr>
                <w:rFonts w:cs="Times New Roman"/>
                <w:b/>
                <w:bCs/>
                <w:sz w:val="24"/>
                <w:szCs w:val="24"/>
              </w:rPr>
            </w:pPr>
          </w:p>
        </w:tc>
      </w:tr>
    </w:tbl>
    <w:p w14:paraId="388BECF1" w14:textId="77777777" w:rsidR="00FF0FB1" w:rsidRPr="009E5586" w:rsidRDefault="00FF0FB1" w:rsidP="000D20BE">
      <w:pPr>
        <w:jc w:val="center"/>
        <w:rPr>
          <w:rFonts w:cs="Times New Roman"/>
          <w:b/>
          <w:sz w:val="24"/>
          <w:szCs w:val="24"/>
        </w:rPr>
      </w:pPr>
    </w:p>
    <w:p w14:paraId="6E3E3607" w14:textId="77777777" w:rsidR="00FF0FB1" w:rsidRPr="009E5586" w:rsidRDefault="00FF0FB1" w:rsidP="000D20BE">
      <w:pPr>
        <w:jc w:val="center"/>
        <w:rPr>
          <w:rFonts w:cs="Times New Roman"/>
          <w:b/>
          <w:sz w:val="24"/>
          <w:szCs w:val="24"/>
        </w:rPr>
      </w:pPr>
    </w:p>
    <w:p w14:paraId="63ABA44D" w14:textId="77777777" w:rsidR="00FF0FB1" w:rsidRPr="009E5586" w:rsidRDefault="00FF0FB1" w:rsidP="000D20BE">
      <w:pPr>
        <w:jc w:val="center"/>
        <w:rPr>
          <w:rFonts w:cs="Times New Roman"/>
          <w:b/>
          <w:sz w:val="24"/>
          <w:szCs w:val="24"/>
        </w:rPr>
      </w:pPr>
    </w:p>
    <w:p w14:paraId="4ACAFE41" w14:textId="77777777" w:rsidR="00FF0FB1" w:rsidRPr="009E5586" w:rsidRDefault="00FF0FB1" w:rsidP="000D20BE">
      <w:pPr>
        <w:jc w:val="center"/>
        <w:rPr>
          <w:rFonts w:cs="Times New Roman"/>
          <w:b/>
          <w:sz w:val="24"/>
          <w:szCs w:val="24"/>
        </w:rPr>
      </w:pPr>
    </w:p>
    <w:p w14:paraId="60656EA1" w14:textId="77777777" w:rsidR="00575EF3" w:rsidRPr="009E5586" w:rsidRDefault="00575EF3" w:rsidP="000D20BE">
      <w:pPr>
        <w:jc w:val="center"/>
        <w:rPr>
          <w:rFonts w:cs="Times New Roman"/>
          <w:b/>
          <w:sz w:val="24"/>
          <w:szCs w:val="24"/>
        </w:rPr>
      </w:pPr>
    </w:p>
    <w:p w14:paraId="458C567E" w14:textId="77777777" w:rsidR="005B6D24" w:rsidRPr="009E5586" w:rsidRDefault="005B6D24" w:rsidP="005B6D24">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lang w:eastAsia="ru-RU"/>
        </w:rPr>
      </w:pPr>
      <w:bookmarkStart w:id="2" w:name="sub_1002"/>
      <w:r w:rsidRPr="009E5586">
        <w:rPr>
          <w:rFonts w:ascii="Times New Roman CYR" w:eastAsia="Times New Roman" w:hAnsi="Times New Roman CYR" w:cs="Times New Roman CYR"/>
          <w:b/>
          <w:bCs/>
          <w:color w:val="26282F"/>
          <w:sz w:val="24"/>
          <w:szCs w:val="24"/>
          <w:lang w:eastAsia="ru-RU"/>
        </w:rPr>
        <w:lastRenderedPageBreak/>
        <w:t>1.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bookmarkEnd w:id="2"/>
    <w:p w14:paraId="5DDF0E5C" w14:textId="77777777" w:rsidR="006C4133" w:rsidRPr="009E5586" w:rsidRDefault="006C4133" w:rsidP="000D20BE">
      <w:pPr>
        <w:tabs>
          <w:tab w:val="left" w:pos="5310"/>
        </w:tabs>
        <w:ind w:left="720"/>
        <w:rPr>
          <w:rFonts w:cs="Times New Roman"/>
          <w:b/>
          <w:sz w:val="24"/>
          <w:szCs w:val="24"/>
        </w:rPr>
      </w:pPr>
      <w:r w:rsidRPr="009E5586">
        <w:rPr>
          <w:rFonts w:cs="Times New Roman"/>
          <w:b/>
          <w:sz w:val="24"/>
          <w:szCs w:val="24"/>
        </w:rPr>
        <w:tab/>
      </w:r>
    </w:p>
    <w:p w14:paraId="5136CE51" w14:textId="77777777" w:rsidR="006C4133" w:rsidRPr="009E5586" w:rsidRDefault="006C4133" w:rsidP="000D20BE">
      <w:pPr>
        <w:ind w:firstLine="708"/>
        <w:jc w:val="both"/>
        <w:rPr>
          <w:rFonts w:cs="Times New Roman"/>
          <w:sz w:val="24"/>
          <w:szCs w:val="24"/>
        </w:rPr>
      </w:pPr>
      <w:r w:rsidRPr="009E5586">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9E5586" w:rsidRDefault="006C4133" w:rsidP="000D20BE">
      <w:pPr>
        <w:ind w:firstLine="709"/>
        <w:jc w:val="both"/>
        <w:rPr>
          <w:rFonts w:cs="Times New Roman"/>
          <w:color w:val="000000"/>
          <w:sz w:val="24"/>
          <w:szCs w:val="24"/>
          <w:shd w:val="clear" w:color="auto" w:fill="FFFFFF"/>
        </w:rPr>
      </w:pPr>
      <w:r w:rsidRPr="009E5586">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9E5586">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9E5586" w:rsidRDefault="006C4133" w:rsidP="000D20BE">
      <w:pPr>
        <w:ind w:firstLine="709"/>
        <w:jc w:val="both"/>
        <w:rPr>
          <w:rFonts w:cs="Times New Roman"/>
          <w:sz w:val="24"/>
          <w:szCs w:val="24"/>
        </w:rPr>
      </w:pPr>
      <w:r w:rsidRPr="009E5586">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9E5586" w:rsidRDefault="006C4133" w:rsidP="000D20BE">
      <w:pPr>
        <w:widowControl w:val="0"/>
        <w:ind w:right="20" w:firstLine="720"/>
        <w:jc w:val="both"/>
        <w:rPr>
          <w:rFonts w:cs="Times New Roman"/>
          <w:sz w:val="24"/>
          <w:szCs w:val="24"/>
        </w:rPr>
      </w:pPr>
      <w:r w:rsidRPr="009E5586">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9E5586">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9E5586">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23DC1CBE" w14:textId="77777777" w:rsidR="006C4133" w:rsidRPr="009E5586" w:rsidRDefault="006C4133" w:rsidP="000D20BE">
      <w:pPr>
        <w:widowControl w:val="0"/>
        <w:autoSpaceDE w:val="0"/>
        <w:autoSpaceDN w:val="0"/>
        <w:adjustRightInd w:val="0"/>
        <w:spacing w:line="276" w:lineRule="auto"/>
        <w:ind w:firstLine="709"/>
        <w:jc w:val="both"/>
        <w:rPr>
          <w:rFonts w:cs="Times New Roman"/>
          <w:sz w:val="24"/>
          <w:szCs w:val="24"/>
        </w:rPr>
      </w:pPr>
      <w:r w:rsidRPr="009E5586">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9E5586" w:rsidRDefault="006C4133" w:rsidP="000D20BE">
      <w:pPr>
        <w:widowControl w:val="0"/>
        <w:autoSpaceDE w:val="0"/>
        <w:autoSpaceDN w:val="0"/>
        <w:adjustRightInd w:val="0"/>
        <w:spacing w:line="276" w:lineRule="auto"/>
        <w:ind w:firstLine="709"/>
        <w:jc w:val="both"/>
        <w:rPr>
          <w:rFonts w:cs="Times New Roman"/>
          <w:sz w:val="24"/>
          <w:szCs w:val="24"/>
        </w:rPr>
      </w:pPr>
      <w:r w:rsidRPr="009E5586">
        <w:rPr>
          <w:rFonts w:cs="Times New Roman"/>
          <w:sz w:val="24"/>
          <w:szCs w:val="24"/>
        </w:rPr>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9E5586" w:rsidRDefault="006C4133" w:rsidP="000D20BE">
      <w:pPr>
        <w:widowControl w:val="0"/>
        <w:autoSpaceDE w:val="0"/>
        <w:autoSpaceDN w:val="0"/>
        <w:adjustRightInd w:val="0"/>
        <w:spacing w:line="276" w:lineRule="auto"/>
        <w:ind w:firstLine="709"/>
        <w:jc w:val="both"/>
        <w:rPr>
          <w:rFonts w:cs="Times New Roman"/>
          <w:sz w:val="24"/>
          <w:szCs w:val="24"/>
        </w:rPr>
      </w:pPr>
      <w:r w:rsidRPr="009E5586">
        <w:rPr>
          <w:rFonts w:cs="Times New Roman"/>
          <w:sz w:val="24"/>
          <w:szCs w:val="24"/>
        </w:rPr>
        <w:lastRenderedPageBreak/>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0A14931F" w14:textId="77777777" w:rsidR="006C4133" w:rsidRPr="009E5586" w:rsidRDefault="006C4133" w:rsidP="00EB522E">
      <w:pPr>
        <w:ind w:firstLine="708"/>
        <w:jc w:val="both"/>
        <w:rPr>
          <w:rFonts w:cs="Times New Roman"/>
          <w:sz w:val="24"/>
          <w:szCs w:val="24"/>
        </w:rPr>
      </w:pPr>
      <w:r w:rsidRPr="009E5586">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9E5586" w:rsidRDefault="006C4133" w:rsidP="00EB522E">
      <w:pPr>
        <w:widowControl w:val="0"/>
        <w:autoSpaceDE w:val="0"/>
        <w:autoSpaceDN w:val="0"/>
        <w:adjustRightInd w:val="0"/>
        <w:ind w:firstLine="709"/>
        <w:jc w:val="both"/>
        <w:rPr>
          <w:rFonts w:cs="Times New Roman"/>
          <w:sz w:val="24"/>
          <w:szCs w:val="24"/>
        </w:rPr>
      </w:pPr>
      <w:r w:rsidRPr="009E5586">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0475FE57" w14:textId="4C00B525" w:rsidR="00C20309" w:rsidRPr="009E5586" w:rsidRDefault="006C4133" w:rsidP="00EB522E">
      <w:pPr>
        <w:pStyle w:val="ConsPlusTitle"/>
        <w:ind w:firstLine="567"/>
        <w:jc w:val="both"/>
        <w:outlineLvl w:val="0"/>
        <w:rPr>
          <w:rFonts w:ascii="Times New Roman" w:eastAsiaTheme="minorHAnsi" w:hAnsi="Times New Roman" w:cs="Times New Roman"/>
          <w:b w:val="0"/>
          <w:sz w:val="24"/>
          <w:szCs w:val="24"/>
          <w:lang w:eastAsia="en-US"/>
        </w:rPr>
      </w:pPr>
      <w:r w:rsidRPr="009E5586">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74BC9D5B" w14:textId="77777777" w:rsidR="004A74E3" w:rsidRPr="009E5586" w:rsidRDefault="004A74E3" w:rsidP="004A74E3">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lang w:eastAsia="ru-RU"/>
        </w:rPr>
      </w:pPr>
      <w:bookmarkStart w:id="3" w:name="sub_1003"/>
      <w:r w:rsidRPr="009E5586">
        <w:rPr>
          <w:rFonts w:ascii="Times New Roman CYR" w:eastAsia="Times New Roman" w:hAnsi="Times New Roman CYR" w:cs="Times New Roman CYR"/>
          <w:b/>
          <w:bCs/>
          <w:color w:val="26282F"/>
          <w:sz w:val="24"/>
          <w:szCs w:val="24"/>
          <w:lang w:eastAsia="ru-RU"/>
        </w:rPr>
        <w:t>2. Прогноз развития сферы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bookmarkEnd w:id="3"/>
    <w:p w14:paraId="0D59954C" w14:textId="77777777" w:rsidR="00575EF3" w:rsidRPr="009E5586" w:rsidRDefault="00575EF3" w:rsidP="000D20BE">
      <w:pPr>
        <w:ind w:firstLine="540"/>
        <w:jc w:val="both"/>
        <w:rPr>
          <w:rFonts w:cs="Times New Roman"/>
          <w:sz w:val="24"/>
          <w:szCs w:val="24"/>
        </w:rPr>
      </w:pPr>
      <w:r w:rsidRPr="009E5586">
        <w:rPr>
          <w:rFonts w:cs="Times New Roman"/>
          <w:sz w:val="24"/>
          <w:szCs w:val="24"/>
        </w:rPr>
        <w:t xml:space="preserve">В результате реализации мероприятий муниципальной </w:t>
      </w:r>
      <w:proofErr w:type="gramStart"/>
      <w:r w:rsidRPr="009E5586">
        <w:rPr>
          <w:rFonts w:cs="Times New Roman"/>
          <w:sz w:val="24"/>
          <w:szCs w:val="24"/>
        </w:rPr>
        <w:t>программы  «</w:t>
      </w:r>
      <w:proofErr w:type="gramEnd"/>
      <w:r w:rsidRPr="009E5586">
        <w:rPr>
          <w:rFonts w:cs="Times New Roman"/>
          <w:sz w:val="24"/>
          <w:szCs w:val="24"/>
        </w:rPr>
        <w:t>Формирование современной комфортной городской среды»  планируется достижение следующих результатов:</w:t>
      </w:r>
    </w:p>
    <w:p w14:paraId="40C13769" w14:textId="77777777" w:rsidR="00575EF3" w:rsidRPr="009E5586" w:rsidRDefault="00575EF3" w:rsidP="000D20BE">
      <w:pPr>
        <w:ind w:firstLine="540"/>
        <w:jc w:val="both"/>
        <w:rPr>
          <w:rFonts w:cs="Times New Roman"/>
          <w:sz w:val="24"/>
          <w:szCs w:val="24"/>
        </w:rPr>
      </w:pPr>
      <w:r w:rsidRPr="009E5586">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9E5586" w:rsidRDefault="00575EF3" w:rsidP="000D20BE">
      <w:pPr>
        <w:ind w:firstLine="540"/>
        <w:jc w:val="both"/>
        <w:rPr>
          <w:rFonts w:cs="Times New Roman"/>
          <w:sz w:val="24"/>
          <w:szCs w:val="24"/>
        </w:rPr>
      </w:pPr>
      <w:r w:rsidRPr="009E5586">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9E5586" w:rsidRDefault="00575EF3" w:rsidP="000D20BE">
      <w:pPr>
        <w:ind w:firstLine="540"/>
        <w:rPr>
          <w:rFonts w:eastAsia="Calibri" w:cs="Times New Roman"/>
          <w:sz w:val="24"/>
          <w:szCs w:val="24"/>
        </w:rPr>
      </w:pPr>
      <w:r w:rsidRPr="009E5586">
        <w:rPr>
          <w:rFonts w:eastAsia="Calibri" w:cs="Times New Roman"/>
          <w:sz w:val="24"/>
          <w:szCs w:val="24"/>
        </w:rPr>
        <w:t>К рискам реализации Программы следует отнести следующие:</w:t>
      </w:r>
    </w:p>
    <w:p w14:paraId="3237B235"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9E5586" w:rsidRDefault="00575EF3" w:rsidP="000D20BE">
      <w:pPr>
        <w:ind w:firstLine="540"/>
        <w:rPr>
          <w:rFonts w:eastAsia="Calibri" w:cs="Times New Roman"/>
          <w:sz w:val="24"/>
          <w:szCs w:val="24"/>
        </w:rPr>
      </w:pPr>
      <w:r w:rsidRPr="009E5586">
        <w:rPr>
          <w:rFonts w:eastAsia="Calibri" w:cs="Times New Roman"/>
          <w:sz w:val="24"/>
          <w:szCs w:val="24"/>
        </w:rPr>
        <w:t>3. Риск изменения федерального и областного законодательства.</w:t>
      </w:r>
    </w:p>
    <w:p w14:paraId="53F6A101"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9E5586" w:rsidRDefault="00575EF3" w:rsidP="000D20BE">
      <w:pPr>
        <w:ind w:firstLine="540"/>
        <w:rPr>
          <w:rFonts w:eastAsia="Calibri" w:cs="Times New Roman"/>
          <w:sz w:val="24"/>
          <w:szCs w:val="24"/>
        </w:rPr>
      </w:pPr>
      <w:r w:rsidRPr="009E5586">
        <w:rPr>
          <w:rFonts w:eastAsia="Calibri" w:cs="Times New Roman"/>
          <w:sz w:val="24"/>
          <w:szCs w:val="24"/>
        </w:rPr>
        <w:t>В рамках данной группы рисков можно выделить основные:</w:t>
      </w:r>
    </w:p>
    <w:p w14:paraId="7D438614"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lastRenderedPageBreak/>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9E5586" w:rsidRDefault="00575EF3" w:rsidP="000D20BE">
      <w:pPr>
        <w:ind w:firstLine="540"/>
        <w:jc w:val="both"/>
        <w:rPr>
          <w:rFonts w:eastAsia="Calibri" w:cs="Times New Roman"/>
          <w:sz w:val="24"/>
          <w:szCs w:val="24"/>
        </w:rPr>
      </w:pPr>
      <w:r w:rsidRPr="009E5586">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9E5586" w:rsidRDefault="00575EF3" w:rsidP="000D20BE">
      <w:pPr>
        <w:numPr>
          <w:ilvl w:val="0"/>
          <w:numId w:val="6"/>
        </w:numPr>
        <w:jc w:val="both"/>
        <w:rPr>
          <w:rFonts w:eastAsia="Calibri" w:cs="Times New Roman"/>
          <w:sz w:val="24"/>
          <w:szCs w:val="24"/>
        </w:rPr>
      </w:pPr>
      <w:r w:rsidRPr="009E5586">
        <w:rPr>
          <w:rFonts w:eastAsia="Calibri" w:cs="Times New Roman"/>
          <w:sz w:val="24"/>
          <w:szCs w:val="24"/>
        </w:rPr>
        <w:t>оперативный мониторинг хода реализации Программы;</w:t>
      </w:r>
    </w:p>
    <w:p w14:paraId="486F0DD8" w14:textId="77777777" w:rsidR="00575EF3" w:rsidRPr="009E5586" w:rsidRDefault="00575EF3" w:rsidP="000D20BE">
      <w:pPr>
        <w:numPr>
          <w:ilvl w:val="0"/>
          <w:numId w:val="6"/>
        </w:numPr>
        <w:jc w:val="both"/>
        <w:rPr>
          <w:rFonts w:eastAsia="Calibri" w:cs="Times New Roman"/>
          <w:sz w:val="24"/>
          <w:szCs w:val="24"/>
        </w:rPr>
      </w:pPr>
      <w:r w:rsidRPr="009E5586">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9E5586" w:rsidRDefault="00575EF3" w:rsidP="000D20BE">
      <w:pPr>
        <w:numPr>
          <w:ilvl w:val="0"/>
          <w:numId w:val="6"/>
        </w:numPr>
        <w:jc w:val="both"/>
        <w:rPr>
          <w:rFonts w:eastAsia="Calibri" w:cs="Times New Roman"/>
          <w:sz w:val="24"/>
          <w:szCs w:val="24"/>
        </w:rPr>
      </w:pPr>
      <w:r w:rsidRPr="009E5586">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45DBB7BC" w14:textId="486F1409" w:rsidR="00F8336A" w:rsidRPr="009E5586" w:rsidRDefault="00F8336A" w:rsidP="00BB1F57">
      <w:pPr>
        <w:ind w:firstLine="540"/>
        <w:jc w:val="center"/>
        <w:rPr>
          <w:rFonts w:ascii="Times New Roman CYR" w:eastAsia="Times New Roman" w:hAnsi="Times New Roman CYR" w:cs="Times New Roman CYR"/>
          <w:b/>
          <w:bCs/>
          <w:color w:val="26282F"/>
          <w:sz w:val="24"/>
          <w:szCs w:val="24"/>
          <w:lang w:eastAsia="ru-RU"/>
        </w:rPr>
      </w:pPr>
      <w:bookmarkStart w:id="4" w:name="sub_1004"/>
      <w:r w:rsidRPr="009E5586">
        <w:rPr>
          <w:rFonts w:ascii="Times New Roman CYR" w:eastAsia="Times New Roman" w:hAnsi="Times New Roman CYR" w:cs="Times New Roman CYR"/>
          <w:b/>
          <w:bCs/>
          <w:color w:val="26282F"/>
          <w:sz w:val="24"/>
          <w:szCs w:val="24"/>
          <w:lang w:eastAsia="ru-RU"/>
        </w:rPr>
        <w:t>3. Перечень подпрограмм и краткое их описание</w:t>
      </w:r>
    </w:p>
    <w:bookmarkEnd w:id="4"/>
    <w:p w14:paraId="28F878BA" w14:textId="77777777" w:rsidR="00575EF3" w:rsidRPr="009E5586" w:rsidRDefault="00575EF3" w:rsidP="000D20BE">
      <w:pPr>
        <w:autoSpaceDE w:val="0"/>
        <w:autoSpaceDN w:val="0"/>
        <w:adjustRightInd w:val="0"/>
        <w:ind w:firstLine="540"/>
        <w:jc w:val="center"/>
        <w:outlineLvl w:val="2"/>
        <w:rPr>
          <w:rFonts w:cs="Times New Roman"/>
          <w:sz w:val="24"/>
          <w:szCs w:val="24"/>
        </w:rPr>
      </w:pPr>
    </w:p>
    <w:p w14:paraId="2BB0309E" w14:textId="77777777" w:rsidR="00620EB1" w:rsidRPr="009E5586" w:rsidRDefault="00575EF3" w:rsidP="000D20BE">
      <w:pPr>
        <w:autoSpaceDE w:val="0"/>
        <w:autoSpaceDN w:val="0"/>
        <w:adjustRightInd w:val="0"/>
        <w:ind w:firstLine="709"/>
        <w:jc w:val="both"/>
        <w:rPr>
          <w:rFonts w:cs="Times New Roman"/>
          <w:sz w:val="24"/>
          <w:szCs w:val="24"/>
        </w:rPr>
      </w:pPr>
      <w:r w:rsidRPr="009E5586">
        <w:rPr>
          <w:rFonts w:cs="Times New Roman"/>
          <w:sz w:val="24"/>
          <w:szCs w:val="24"/>
        </w:rPr>
        <w:t xml:space="preserve">Подпрограмма </w:t>
      </w:r>
      <w:r w:rsidRPr="009E5586">
        <w:rPr>
          <w:rFonts w:cs="Times New Roman"/>
          <w:sz w:val="24"/>
          <w:szCs w:val="24"/>
          <w:lang w:val="en-US"/>
        </w:rPr>
        <w:t>I</w:t>
      </w:r>
      <w:r w:rsidRPr="009E5586">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r w:rsidR="00620EB1" w:rsidRPr="009E5586">
        <w:rPr>
          <w:rFonts w:cs="Times New Roman"/>
          <w:sz w:val="24"/>
          <w:szCs w:val="24"/>
        </w:rPr>
        <w:t xml:space="preserve"> </w:t>
      </w:r>
    </w:p>
    <w:p w14:paraId="0CDCF1C6" w14:textId="2BC03E62" w:rsidR="00575EF3" w:rsidRDefault="00575EF3" w:rsidP="00EB522E">
      <w:pPr>
        <w:widowControl w:val="0"/>
        <w:autoSpaceDE w:val="0"/>
        <w:autoSpaceDN w:val="0"/>
        <w:adjustRightInd w:val="0"/>
        <w:ind w:firstLine="540"/>
        <w:jc w:val="both"/>
        <w:rPr>
          <w:rFonts w:cs="Times New Roman"/>
          <w:sz w:val="24"/>
          <w:szCs w:val="24"/>
        </w:rPr>
      </w:pPr>
      <w:r w:rsidRPr="009E5586">
        <w:rPr>
          <w:rFonts w:cs="Times New Roman"/>
          <w:sz w:val="24"/>
          <w:szCs w:val="24"/>
        </w:rPr>
        <w:t xml:space="preserve">Подпрограмма </w:t>
      </w:r>
      <w:r w:rsidRPr="009E5586">
        <w:rPr>
          <w:rFonts w:cs="Times New Roman"/>
          <w:sz w:val="24"/>
          <w:szCs w:val="24"/>
          <w:lang w:val="en-US"/>
        </w:rPr>
        <w:t>II</w:t>
      </w:r>
      <w:r w:rsidRPr="009E5586">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9E5586">
        <w:rPr>
          <w:rFonts w:cs="Times New Roman"/>
          <w:sz w:val="24"/>
          <w:szCs w:val="24"/>
        </w:rPr>
        <w:t xml:space="preserve"> Московской области</w:t>
      </w:r>
      <w:r w:rsidRPr="009E5586">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21817799" w14:textId="611336FF" w:rsidR="00EC6021" w:rsidRDefault="00EC6021" w:rsidP="000D20BE">
      <w:pPr>
        <w:ind w:firstLine="567"/>
        <w:jc w:val="both"/>
        <w:rPr>
          <w:rFonts w:cs="Times New Roman"/>
          <w:sz w:val="24"/>
          <w:szCs w:val="24"/>
        </w:rPr>
      </w:pPr>
      <w:r w:rsidRPr="009E5586">
        <w:rPr>
          <w:rFonts w:cs="Times New Roman"/>
          <w:sz w:val="24"/>
          <w:szCs w:val="24"/>
        </w:rPr>
        <w:t xml:space="preserve">Подпрограмма </w:t>
      </w:r>
      <w:r w:rsidR="00EB522E" w:rsidRPr="009E5586">
        <w:rPr>
          <w:rFonts w:cs="Times New Roman"/>
          <w:sz w:val="24"/>
          <w:szCs w:val="24"/>
          <w:lang w:val="en-US"/>
        </w:rPr>
        <w:t>III</w:t>
      </w:r>
      <w:r w:rsidRPr="009E5586">
        <w:rPr>
          <w:rFonts w:cs="Times New Roman"/>
          <w:sz w:val="24"/>
          <w:szCs w:val="24"/>
        </w:rPr>
        <w:t xml:space="preserve"> «Обеспечивающая подпрограмма» направлена на проведение мероприятий с целью выявления и пресечения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4A7CBDE4" w14:textId="77777777" w:rsidR="00575EF3" w:rsidRPr="009E5586" w:rsidRDefault="00575EF3" w:rsidP="000D20BE">
      <w:pPr>
        <w:autoSpaceDE w:val="0"/>
        <w:autoSpaceDN w:val="0"/>
        <w:adjustRightInd w:val="0"/>
        <w:ind w:firstLine="540"/>
        <w:jc w:val="center"/>
        <w:rPr>
          <w:rFonts w:cs="Times New Roman"/>
          <w:sz w:val="24"/>
          <w:szCs w:val="24"/>
        </w:rPr>
      </w:pPr>
    </w:p>
    <w:p w14:paraId="128F5AEE" w14:textId="77777777" w:rsidR="00DE61BD" w:rsidRPr="009E5586" w:rsidRDefault="00DE61BD" w:rsidP="00DE61BD">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lang w:eastAsia="ru-RU"/>
        </w:rPr>
      </w:pPr>
      <w:r w:rsidRPr="009E5586">
        <w:rPr>
          <w:rFonts w:ascii="Times New Roman CYR" w:eastAsia="Times New Roman" w:hAnsi="Times New Roman CYR" w:cs="Times New Roman CYR"/>
          <w:b/>
          <w:bCs/>
          <w:color w:val="26282F"/>
          <w:sz w:val="24"/>
          <w:szCs w:val="24"/>
          <w:lang w:eastAsia="ru-RU"/>
        </w:rPr>
        <w:t>4. Обобщенная характеристика основных мероприятий с обоснованием необходимости их осуществления</w:t>
      </w:r>
    </w:p>
    <w:p w14:paraId="388770BD" w14:textId="77777777" w:rsidR="00DE61BD" w:rsidRPr="009E5586" w:rsidRDefault="00DE61BD" w:rsidP="00DE61BD">
      <w:pPr>
        <w:ind w:firstLine="709"/>
        <w:jc w:val="both"/>
        <w:rPr>
          <w:rFonts w:eastAsia="Calibri" w:cs="Times New Roman"/>
          <w:color w:val="000000"/>
          <w:sz w:val="24"/>
          <w:szCs w:val="24"/>
          <w:shd w:val="clear" w:color="auto" w:fill="FFFFFF"/>
        </w:rPr>
      </w:pPr>
      <w:r w:rsidRPr="009E5586">
        <w:rPr>
          <w:rFonts w:eastAsia="Calibri" w:cs="Times New Roman"/>
          <w:color w:val="000000"/>
          <w:sz w:val="24"/>
          <w:szCs w:val="24"/>
          <w:shd w:val="clear" w:color="auto" w:fill="FFFFFF"/>
        </w:rPr>
        <w:lastRenderedPageBreak/>
        <w:t>Мероприятия муниципальной программы представляют собой совокупность мероприятий, входящих в состав программы и подпрограмм. Внутри подпрограмм муниципальной программы мероприятия сгруппированы, исходя из принципа соотнесения с показателем, достижению которого способствует их выполнение.</w:t>
      </w:r>
    </w:p>
    <w:p w14:paraId="3EFCD2E9" w14:textId="77777777" w:rsidR="00DE61BD" w:rsidRPr="009E5586" w:rsidRDefault="00DE61BD" w:rsidP="00DE61BD">
      <w:pPr>
        <w:widowControl w:val="0"/>
        <w:autoSpaceDE w:val="0"/>
        <w:autoSpaceDN w:val="0"/>
        <w:adjustRightInd w:val="0"/>
        <w:ind w:firstLine="720"/>
        <w:jc w:val="both"/>
        <w:rPr>
          <w:rFonts w:ascii="Times New Roman CYR" w:eastAsia="Times New Roman" w:hAnsi="Times New Roman CYR" w:cs="Times New Roman CYR"/>
          <w:sz w:val="24"/>
          <w:szCs w:val="24"/>
          <w:lang w:eastAsia="ru-RU"/>
        </w:rPr>
      </w:pPr>
      <w:r w:rsidRPr="009E5586">
        <w:rPr>
          <w:rFonts w:eastAsia="Calibri" w:cs="Times New Roman"/>
          <w:color w:val="000000"/>
          <w:sz w:val="24"/>
          <w:szCs w:val="24"/>
          <w:shd w:val="clear" w:color="auto" w:fill="FFFFFF"/>
        </w:rPr>
        <w:t>Перечень мероприятий приведен в соответствующих подпрограммах муниципальной программы и в приложении № 4 к муниципальной программе</w:t>
      </w:r>
      <w:r w:rsidRPr="009E5586">
        <w:rPr>
          <w:rFonts w:eastAsia="Calibri" w:cs="Times New Roman"/>
          <w:color w:val="000000"/>
          <w:szCs w:val="24"/>
          <w:shd w:val="clear" w:color="auto" w:fill="FFFFFF"/>
        </w:rPr>
        <w:t>.</w:t>
      </w:r>
    </w:p>
    <w:p w14:paraId="5FBB2954" w14:textId="77777777" w:rsidR="00033F9F" w:rsidRPr="009E5586" w:rsidRDefault="00033F9F" w:rsidP="000D20BE">
      <w:pPr>
        <w:spacing w:line="20" w:lineRule="atLeast"/>
        <w:contextualSpacing/>
        <w:jc w:val="both"/>
        <w:rPr>
          <w:rFonts w:eastAsia="Arial Unicode MS"/>
          <w:b/>
          <w:color w:val="000000"/>
          <w:sz w:val="24"/>
          <w:szCs w:val="24"/>
        </w:rPr>
      </w:pPr>
    </w:p>
    <w:p w14:paraId="09FABA8E" w14:textId="77777777" w:rsidR="00DE61BD" w:rsidRPr="009E5586" w:rsidRDefault="00DE61BD" w:rsidP="00DE61BD">
      <w:pPr>
        <w:shd w:val="clear" w:color="auto" w:fill="FFFFFF"/>
        <w:ind w:firstLine="709"/>
        <w:jc w:val="center"/>
        <w:outlineLvl w:val="0"/>
        <w:rPr>
          <w:rFonts w:eastAsia="Calibri" w:cs="Times New Roman"/>
          <w:b/>
          <w:color w:val="000000"/>
          <w:sz w:val="24"/>
          <w:szCs w:val="24"/>
          <w:shd w:val="clear" w:color="auto" w:fill="FFFFFF"/>
        </w:rPr>
      </w:pPr>
      <w:r w:rsidRPr="009E5586">
        <w:rPr>
          <w:rFonts w:eastAsia="Calibri" w:cs="Times New Roman"/>
          <w:b/>
          <w:color w:val="000000"/>
          <w:sz w:val="24"/>
          <w:szCs w:val="24"/>
          <w:shd w:val="clear" w:color="auto" w:fill="FFFFFF"/>
        </w:rPr>
        <w:t>5. Планируемые результаты реализации муниципальной программы</w:t>
      </w:r>
    </w:p>
    <w:p w14:paraId="72D38950" w14:textId="77777777" w:rsidR="00DE61BD" w:rsidRPr="009E5586" w:rsidRDefault="00DE61BD" w:rsidP="00DE61BD">
      <w:pPr>
        <w:shd w:val="clear" w:color="auto" w:fill="FFFFFF"/>
        <w:ind w:firstLine="709"/>
        <w:jc w:val="both"/>
        <w:outlineLvl w:val="0"/>
        <w:rPr>
          <w:rFonts w:eastAsia="Calibri" w:cs="Times New Roman"/>
          <w:b/>
          <w:color w:val="000000"/>
          <w:sz w:val="24"/>
          <w:szCs w:val="24"/>
          <w:shd w:val="clear" w:color="auto" w:fill="FFFFFF"/>
        </w:rPr>
      </w:pPr>
    </w:p>
    <w:p w14:paraId="3847B6F4" w14:textId="77777777" w:rsidR="00DE61BD" w:rsidRPr="009E5586" w:rsidRDefault="00DE61BD" w:rsidP="00DE61BD">
      <w:pPr>
        <w:shd w:val="clear" w:color="auto" w:fill="FFFFFF"/>
        <w:ind w:firstLine="709"/>
        <w:jc w:val="both"/>
        <w:outlineLvl w:val="0"/>
        <w:rPr>
          <w:rFonts w:eastAsia="Calibri" w:cs="Times New Roman"/>
          <w:color w:val="000000"/>
          <w:sz w:val="24"/>
          <w:szCs w:val="24"/>
          <w:shd w:val="clear" w:color="auto" w:fill="FFFFFF"/>
        </w:rPr>
      </w:pPr>
      <w:r w:rsidRPr="009E5586">
        <w:rPr>
          <w:rFonts w:eastAsia="Calibri" w:cs="Times New Roman"/>
          <w:color w:val="000000"/>
          <w:sz w:val="24"/>
          <w:szCs w:val="24"/>
          <w:shd w:val="clear" w:color="auto" w:fill="FFFFFF"/>
        </w:rPr>
        <w:t xml:space="preserve">Основные планируемые результаты реализации программы приведены в приложении </w:t>
      </w:r>
      <w:r w:rsidRPr="00F34CDA">
        <w:rPr>
          <w:rFonts w:eastAsia="Calibri" w:cs="Times New Roman"/>
          <w:color w:val="000000"/>
          <w:sz w:val="24"/>
          <w:szCs w:val="24"/>
          <w:highlight w:val="yellow"/>
          <w:shd w:val="clear" w:color="auto" w:fill="FFFFFF"/>
        </w:rPr>
        <w:t>№ 2</w:t>
      </w:r>
      <w:r w:rsidRPr="009E5586">
        <w:rPr>
          <w:rFonts w:eastAsia="Calibri" w:cs="Times New Roman"/>
          <w:color w:val="000000"/>
          <w:sz w:val="24"/>
          <w:szCs w:val="24"/>
          <w:shd w:val="clear" w:color="auto" w:fill="FFFFFF"/>
        </w:rPr>
        <w:t xml:space="preserve"> к муниципальной программе.</w:t>
      </w:r>
    </w:p>
    <w:p w14:paraId="32426FE8" w14:textId="77777777" w:rsidR="00DE61BD" w:rsidRPr="009E5586" w:rsidRDefault="00DE61BD" w:rsidP="00DE61BD">
      <w:pPr>
        <w:ind w:firstLine="708"/>
        <w:jc w:val="both"/>
        <w:rPr>
          <w:rFonts w:eastAsia="Calibri" w:cs="Times New Roman"/>
          <w:color w:val="000000"/>
          <w:sz w:val="24"/>
          <w:szCs w:val="24"/>
          <w:shd w:val="clear" w:color="auto" w:fill="FFFFFF"/>
        </w:rPr>
      </w:pPr>
    </w:p>
    <w:p w14:paraId="39CBD2C6" w14:textId="77777777" w:rsidR="00DE61BD" w:rsidRPr="009E5586" w:rsidRDefault="00DE61BD" w:rsidP="00DE61BD">
      <w:pPr>
        <w:ind w:firstLine="708"/>
        <w:jc w:val="center"/>
        <w:rPr>
          <w:rFonts w:eastAsia="Calibri" w:cs="Times New Roman"/>
          <w:b/>
          <w:color w:val="000000"/>
          <w:sz w:val="24"/>
          <w:szCs w:val="24"/>
          <w:shd w:val="clear" w:color="auto" w:fill="FFFFFF"/>
        </w:rPr>
      </w:pPr>
      <w:r w:rsidRPr="009E5586">
        <w:rPr>
          <w:rFonts w:eastAsia="Calibri" w:cs="Times New Roman"/>
          <w:b/>
          <w:color w:val="000000"/>
          <w:sz w:val="24"/>
          <w:szCs w:val="24"/>
          <w:shd w:val="clear" w:color="auto" w:fill="FFFFFF"/>
        </w:rPr>
        <w:t>6. Обоснование объема финансовых ресурсов, необходимых для реализации муниципальной программы</w:t>
      </w:r>
    </w:p>
    <w:p w14:paraId="5B61D84F" w14:textId="77777777" w:rsidR="00DE61BD" w:rsidRPr="009E5586" w:rsidRDefault="00DE61BD" w:rsidP="00DE61BD">
      <w:pPr>
        <w:ind w:firstLine="708"/>
        <w:jc w:val="both"/>
        <w:rPr>
          <w:rFonts w:eastAsia="Calibri" w:cs="Times New Roman"/>
          <w:b/>
          <w:color w:val="000000"/>
          <w:sz w:val="24"/>
          <w:szCs w:val="24"/>
          <w:shd w:val="clear" w:color="auto" w:fill="FFFFFF"/>
        </w:rPr>
      </w:pPr>
    </w:p>
    <w:p w14:paraId="53B43B7F" w14:textId="297DFB02" w:rsidR="00DE61BD" w:rsidRPr="00DE61BD" w:rsidRDefault="00DE61BD" w:rsidP="00DE61BD">
      <w:pPr>
        <w:ind w:firstLine="708"/>
        <w:jc w:val="both"/>
        <w:rPr>
          <w:rFonts w:eastAsia="Calibri" w:cs="Times New Roman"/>
          <w:color w:val="000000"/>
          <w:sz w:val="24"/>
          <w:szCs w:val="24"/>
          <w:shd w:val="clear" w:color="auto" w:fill="FFFFFF"/>
        </w:rPr>
      </w:pPr>
      <w:r w:rsidRPr="009E5586">
        <w:rPr>
          <w:rFonts w:eastAsia="Calibri" w:cs="Times New Roman"/>
          <w:color w:val="000000"/>
          <w:sz w:val="24"/>
          <w:szCs w:val="24"/>
          <w:shd w:val="clear" w:color="auto" w:fill="FFFFFF"/>
        </w:rPr>
        <w:t xml:space="preserve">Финансирование муниципальной программы осуществляется из бюджета городского округа Домодедово. Обоснования объемов финансовых ресурсов, необходимых для реализации мероприятий, предусмотренных муниципальной программой, приведено в приложении № </w:t>
      </w:r>
      <w:r w:rsidRPr="00F34CDA">
        <w:rPr>
          <w:rFonts w:eastAsia="Calibri" w:cs="Times New Roman"/>
          <w:color w:val="000000"/>
          <w:sz w:val="24"/>
          <w:szCs w:val="24"/>
          <w:highlight w:val="yellow"/>
          <w:shd w:val="clear" w:color="auto" w:fill="FFFFFF"/>
        </w:rPr>
        <w:t>3</w:t>
      </w:r>
      <w:r w:rsidRPr="009E5586">
        <w:rPr>
          <w:rFonts w:eastAsia="Calibri" w:cs="Times New Roman"/>
          <w:color w:val="000000"/>
          <w:sz w:val="24"/>
          <w:szCs w:val="24"/>
          <w:shd w:val="clear" w:color="auto" w:fill="FFFFFF"/>
        </w:rPr>
        <w:t xml:space="preserve"> к муниципальной программе.</w:t>
      </w:r>
    </w:p>
    <w:p w14:paraId="0758B794" w14:textId="77777777" w:rsidR="00A95B29" w:rsidRPr="002932D4" w:rsidRDefault="00A95B29" w:rsidP="00A85CDD">
      <w:pPr>
        <w:autoSpaceDE w:val="0"/>
        <w:autoSpaceDN w:val="0"/>
        <w:adjustRightInd w:val="0"/>
        <w:jc w:val="both"/>
        <w:rPr>
          <w:sz w:val="24"/>
          <w:szCs w:val="24"/>
        </w:rPr>
      </w:pPr>
    </w:p>
    <w:p w14:paraId="71876D06" w14:textId="0DBF023C" w:rsidR="00A95B29" w:rsidRDefault="003F7A1D" w:rsidP="003F7A1D">
      <w:pPr>
        <w:spacing w:line="20" w:lineRule="atLeast"/>
        <w:ind w:left="360"/>
        <w:jc w:val="center"/>
        <w:rPr>
          <w:rFonts w:eastAsia="Arial Unicode MS"/>
          <w:b/>
          <w:color w:val="000000"/>
          <w:sz w:val="24"/>
          <w:szCs w:val="24"/>
        </w:rPr>
      </w:pPr>
      <w:r>
        <w:rPr>
          <w:rFonts w:eastAsia="Arial Unicode MS"/>
          <w:b/>
          <w:color w:val="000000"/>
          <w:sz w:val="24"/>
          <w:szCs w:val="24"/>
        </w:rPr>
        <w:t xml:space="preserve">7. </w:t>
      </w:r>
      <w:r w:rsidR="00A95B29" w:rsidRPr="003F7A1D">
        <w:rPr>
          <w:rFonts w:eastAsia="Arial Unicode MS"/>
          <w:b/>
          <w:color w:val="000000"/>
          <w:sz w:val="24"/>
          <w:szCs w:val="24"/>
        </w:rPr>
        <w:t>Методика расчета значений планируемых результатов реа</w:t>
      </w:r>
      <w:r w:rsidR="00915704" w:rsidRPr="003F7A1D">
        <w:rPr>
          <w:rFonts w:eastAsia="Arial Unicode MS"/>
          <w:b/>
          <w:color w:val="000000"/>
          <w:sz w:val="24"/>
          <w:szCs w:val="24"/>
        </w:rPr>
        <w:t>лизации муниципальной Программы</w:t>
      </w:r>
    </w:p>
    <w:tbl>
      <w:tblPr>
        <w:tblW w:w="155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2948"/>
        <w:gridCol w:w="1162"/>
        <w:gridCol w:w="5669"/>
        <w:gridCol w:w="2693"/>
        <w:gridCol w:w="2297"/>
      </w:tblGrid>
      <w:tr w:rsidR="00F34CDA" w:rsidRPr="00F34CDA" w14:paraId="23AC9C96" w14:textId="77777777" w:rsidTr="00C949C2">
        <w:tc>
          <w:tcPr>
            <w:tcW w:w="739" w:type="dxa"/>
            <w:shd w:val="clear" w:color="auto" w:fill="auto"/>
          </w:tcPr>
          <w:p w14:paraId="7A26B1C7"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t>№п/п</w:t>
            </w:r>
          </w:p>
        </w:tc>
        <w:tc>
          <w:tcPr>
            <w:tcW w:w="2948" w:type="dxa"/>
            <w:shd w:val="clear" w:color="auto" w:fill="auto"/>
          </w:tcPr>
          <w:p w14:paraId="397F0AF7" w14:textId="77777777" w:rsidR="00F34CDA" w:rsidRPr="00F34CDA" w:rsidRDefault="00F34CDA" w:rsidP="00C949C2">
            <w:pPr>
              <w:spacing w:line="20" w:lineRule="atLeast"/>
              <w:ind w:left="-108" w:right="-108"/>
              <w:contextualSpacing/>
              <w:jc w:val="center"/>
              <w:rPr>
                <w:rFonts w:eastAsia="Arial Unicode MS" w:cs="Times New Roman"/>
                <w:b/>
                <w:color w:val="000000"/>
                <w:sz w:val="20"/>
                <w:szCs w:val="20"/>
              </w:rPr>
            </w:pPr>
            <w:r w:rsidRPr="00F34CDA">
              <w:rPr>
                <w:rFonts w:eastAsia="Arial Unicode MS" w:cs="Times New Roman"/>
                <w:b/>
                <w:color w:val="000000"/>
                <w:sz w:val="20"/>
                <w:szCs w:val="20"/>
              </w:rPr>
              <w:t>Наименование показателя</w:t>
            </w:r>
          </w:p>
        </w:tc>
        <w:tc>
          <w:tcPr>
            <w:tcW w:w="1162" w:type="dxa"/>
            <w:shd w:val="clear" w:color="auto" w:fill="auto"/>
          </w:tcPr>
          <w:p w14:paraId="59D48051" w14:textId="77777777" w:rsidR="00F34CDA" w:rsidRPr="00F34CDA" w:rsidRDefault="00F34CDA" w:rsidP="00C949C2">
            <w:pPr>
              <w:spacing w:line="20" w:lineRule="atLeast"/>
              <w:ind w:left="-108" w:right="-108"/>
              <w:contextualSpacing/>
              <w:jc w:val="center"/>
              <w:rPr>
                <w:rFonts w:eastAsia="Arial Unicode MS" w:cs="Times New Roman"/>
                <w:b/>
                <w:color w:val="000000"/>
                <w:sz w:val="20"/>
                <w:szCs w:val="20"/>
              </w:rPr>
            </w:pPr>
            <w:r w:rsidRPr="00F34CDA">
              <w:rPr>
                <w:rFonts w:eastAsia="Arial Unicode MS" w:cs="Times New Roman"/>
                <w:b/>
                <w:color w:val="000000"/>
                <w:sz w:val="20"/>
                <w:szCs w:val="20"/>
              </w:rPr>
              <w:t>Единица измерения</w:t>
            </w:r>
          </w:p>
        </w:tc>
        <w:tc>
          <w:tcPr>
            <w:tcW w:w="5669" w:type="dxa"/>
            <w:shd w:val="clear" w:color="auto" w:fill="auto"/>
          </w:tcPr>
          <w:p w14:paraId="484B946B" w14:textId="77777777" w:rsidR="00F34CDA" w:rsidRPr="00F34CDA" w:rsidRDefault="00F34CDA" w:rsidP="00C949C2">
            <w:pPr>
              <w:spacing w:line="20" w:lineRule="atLeast"/>
              <w:contextualSpacing/>
              <w:jc w:val="center"/>
              <w:rPr>
                <w:rFonts w:eastAsia="Arial Unicode MS" w:cs="Times New Roman"/>
                <w:b/>
                <w:color w:val="000000"/>
                <w:sz w:val="20"/>
                <w:szCs w:val="20"/>
              </w:rPr>
            </w:pPr>
            <w:r w:rsidRPr="00F34CDA">
              <w:rPr>
                <w:rFonts w:eastAsia="Arial Unicode MS" w:cs="Times New Roman"/>
                <w:b/>
                <w:color w:val="000000"/>
                <w:sz w:val="20"/>
                <w:szCs w:val="20"/>
              </w:rPr>
              <w:t>Порядок расчета</w:t>
            </w:r>
          </w:p>
        </w:tc>
        <w:tc>
          <w:tcPr>
            <w:tcW w:w="2693" w:type="dxa"/>
          </w:tcPr>
          <w:p w14:paraId="1689A36B" w14:textId="77777777" w:rsidR="00F34CDA" w:rsidRPr="00F34CDA" w:rsidRDefault="00F34CDA" w:rsidP="00C949C2">
            <w:pPr>
              <w:spacing w:line="20" w:lineRule="atLeast"/>
              <w:contextualSpacing/>
              <w:jc w:val="center"/>
              <w:rPr>
                <w:rFonts w:eastAsia="Arial Unicode MS" w:cs="Times New Roman"/>
                <w:b/>
                <w:color w:val="000000"/>
                <w:sz w:val="20"/>
                <w:szCs w:val="20"/>
              </w:rPr>
            </w:pPr>
            <w:r w:rsidRPr="00F34CDA">
              <w:rPr>
                <w:rFonts w:eastAsia="Arial Unicode MS" w:cs="Times New Roman"/>
                <w:b/>
                <w:color w:val="000000"/>
                <w:sz w:val="20"/>
                <w:szCs w:val="20"/>
              </w:rPr>
              <w:t>Источник данных</w:t>
            </w:r>
          </w:p>
        </w:tc>
        <w:tc>
          <w:tcPr>
            <w:tcW w:w="2297" w:type="dxa"/>
            <w:shd w:val="clear" w:color="auto" w:fill="auto"/>
          </w:tcPr>
          <w:p w14:paraId="394EEB7B" w14:textId="77777777" w:rsidR="00F34CDA" w:rsidRPr="00F34CDA" w:rsidRDefault="00F34CDA" w:rsidP="00C949C2">
            <w:pPr>
              <w:spacing w:line="20" w:lineRule="atLeast"/>
              <w:contextualSpacing/>
              <w:jc w:val="center"/>
              <w:rPr>
                <w:rFonts w:eastAsia="Arial Unicode MS" w:cs="Times New Roman"/>
                <w:b/>
                <w:color w:val="000000"/>
                <w:sz w:val="20"/>
                <w:szCs w:val="20"/>
              </w:rPr>
            </w:pPr>
            <w:r w:rsidRPr="00F34CDA">
              <w:rPr>
                <w:rFonts w:eastAsia="Arial Unicode MS" w:cs="Times New Roman"/>
                <w:b/>
                <w:color w:val="000000"/>
                <w:sz w:val="20"/>
                <w:szCs w:val="20"/>
              </w:rPr>
              <w:t>Период представления</w:t>
            </w:r>
          </w:p>
        </w:tc>
      </w:tr>
      <w:tr w:rsidR="00F34CDA" w:rsidRPr="00F34CDA" w14:paraId="56CB13C5" w14:textId="77777777" w:rsidTr="00C949C2">
        <w:trPr>
          <w:trHeight w:val="2243"/>
        </w:trPr>
        <w:tc>
          <w:tcPr>
            <w:tcW w:w="739" w:type="dxa"/>
            <w:shd w:val="clear" w:color="auto" w:fill="auto"/>
          </w:tcPr>
          <w:p w14:paraId="2FFFE43C"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t>1</w:t>
            </w:r>
          </w:p>
        </w:tc>
        <w:tc>
          <w:tcPr>
            <w:tcW w:w="2948" w:type="dxa"/>
            <w:shd w:val="clear" w:color="auto" w:fill="auto"/>
          </w:tcPr>
          <w:p w14:paraId="06E39F0D" w14:textId="77777777" w:rsidR="00F34CDA" w:rsidRPr="00F34CDA" w:rsidRDefault="00F34CDA" w:rsidP="00C949C2">
            <w:pPr>
              <w:rPr>
                <w:rFonts w:cs="Times New Roman"/>
                <w:color w:val="000000" w:themeColor="text1"/>
                <w:sz w:val="20"/>
                <w:szCs w:val="20"/>
                <w:lang w:val="en-US"/>
              </w:rPr>
            </w:pPr>
            <w:r w:rsidRPr="00F34CDA">
              <w:rPr>
                <w:rFonts w:cs="Times New Roman"/>
                <w:color w:val="000000" w:themeColor="text1"/>
                <w:sz w:val="20"/>
                <w:szCs w:val="20"/>
              </w:rPr>
              <w:t>Количество благоустроенных общественных территорий</w:t>
            </w:r>
          </w:p>
          <w:p w14:paraId="6559739D" w14:textId="77777777" w:rsidR="00F34CDA" w:rsidRPr="00F34CDA" w:rsidRDefault="00F34CDA" w:rsidP="00C949C2">
            <w:pPr>
              <w:spacing w:line="20" w:lineRule="atLeast"/>
              <w:ind w:left="-108" w:right="-108"/>
              <w:contextualSpacing/>
              <w:rPr>
                <w:rFonts w:eastAsia="Arial Unicode MS" w:cs="Times New Roman"/>
                <w:color w:val="000000"/>
                <w:sz w:val="20"/>
                <w:szCs w:val="20"/>
              </w:rPr>
            </w:pPr>
          </w:p>
        </w:tc>
        <w:tc>
          <w:tcPr>
            <w:tcW w:w="1162" w:type="dxa"/>
            <w:shd w:val="clear" w:color="auto" w:fill="auto"/>
            <w:vAlign w:val="center"/>
          </w:tcPr>
          <w:p w14:paraId="33B52939" w14:textId="77777777" w:rsidR="00F34CDA" w:rsidRPr="00F34CDA" w:rsidRDefault="00F34CDA" w:rsidP="00C949C2">
            <w:pPr>
              <w:jc w:val="center"/>
              <w:rPr>
                <w:rFonts w:cs="Times New Roman"/>
                <w:sz w:val="20"/>
                <w:szCs w:val="20"/>
              </w:rPr>
            </w:pPr>
            <w:r w:rsidRPr="00F34CDA">
              <w:rPr>
                <w:rFonts w:cs="Times New Roman"/>
                <w:sz w:val="20"/>
                <w:szCs w:val="20"/>
              </w:rPr>
              <w:t>Единица</w:t>
            </w:r>
          </w:p>
        </w:tc>
        <w:tc>
          <w:tcPr>
            <w:tcW w:w="5669" w:type="dxa"/>
            <w:shd w:val="clear" w:color="auto" w:fill="auto"/>
          </w:tcPr>
          <w:p w14:paraId="47FB4BB8" w14:textId="77777777" w:rsidR="00F34CDA" w:rsidRPr="00F34CDA" w:rsidRDefault="00F34CDA" w:rsidP="00C949C2">
            <w:pPr>
              <w:spacing w:line="20" w:lineRule="atLeast"/>
              <w:contextualSpacing/>
              <w:rPr>
                <w:rFonts w:eastAsia="Arial Unicode MS" w:cs="Times New Roman"/>
                <w:color w:val="000000"/>
                <w:sz w:val="20"/>
                <w:szCs w:val="20"/>
              </w:rPr>
            </w:pPr>
            <w:r w:rsidRPr="00F34CDA">
              <w:rPr>
                <w:rFonts w:eastAsiaTheme="minorEastAsia" w:cs="Times New Roman"/>
                <w:color w:val="000000" w:themeColor="text1"/>
                <w:sz w:val="20"/>
                <w:szCs w:val="20"/>
                <w:lang w:eastAsia="ru-RU"/>
              </w:rPr>
              <w:t xml:space="preserve">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F34CDA">
              <w:rPr>
                <w:rFonts w:cs="Times New Roman"/>
                <w:sz w:val="20"/>
                <w:szCs w:val="20"/>
              </w:rPr>
              <w:t xml:space="preserve">F2.01, F2.02, F2.03 </w:t>
            </w:r>
            <w:r w:rsidRPr="00F34CDA">
              <w:rPr>
                <w:rFonts w:eastAsiaTheme="minorEastAsia" w:cs="Times New Roman"/>
                <w:color w:val="000000" w:themeColor="text1"/>
                <w:sz w:val="20"/>
                <w:szCs w:val="20"/>
                <w:lang w:eastAsia="ru-RU"/>
              </w:rPr>
              <w:t xml:space="preserve">основного мероприятия F2 «Формирование комфортной городской среды» национального проекта «Жилье и городская среда» подпрограммы </w:t>
            </w:r>
            <w:r w:rsidRPr="00F34CDA">
              <w:rPr>
                <w:rFonts w:eastAsiaTheme="minorEastAsia" w:cs="Times New Roman"/>
                <w:color w:val="000000" w:themeColor="text1"/>
                <w:sz w:val="20"/>
                <w:szCs w:val="20"/>
                <w:lang w:val="en-US" w:eastAsia="ru-RU"/>
              </w:rPr>
              <w:t>I</w:t>
            </w:r>
            <w:r w:rsidRPr="00F34CDA">
              <w:rPr>
                <w:rFonts w:eastAsiaTheme="minorEastAsia" w:cs="Times New Roman"/>
                <w:color w:val="000000" w:themeColor="text1"/>
                <w:sz w:val="20"/>
                <w:szCs w:val="20"/>
                <w:lang w:eastAsia="ru-RU"/>
              </w:rPr>
              <w:t xml:space="preserve"> «Комфортная городская среда» государственной программы Московской области «Формирование современной комфортной городской среды»</w:t>
            </w:r>
          </w:p>
        </w:tc>
        <w:tc>
          <w:tcPr>
            <w:tcW w:w="2693" w:type="dxa"/>
          </w:tcPr>
          <w:p w14:paraId="0E94ADC9" w14:textId="77777777" w:rsidR="00F34CDA" w:rsidRPr="00F34CDA" w:rsidRDefault="00F34CDA" w:rsidP="00C949C2">
            <w:pPr>
              <w:rPr>
                <w:rFonts w:cs="Times New Roman"/>
                <w:color w:val="000000" w:themeColor="text1"/>
                <w:sz w:val="20"/>
                <w:szCs w:val="20"/>
              </w:rPr>
            </w:pPr>
            <w:r w:rsidRPr="00F34CDA">
              <w:rPr>
                <w:rFonts w:eastAsia="Arial Unicode MS" w:cs="Times New Roman"/>
                <w:color w:val="000000"/>
                <w:sz w:val="20"/>
                <w:szCs w:val="20"/>
              </w:rPr>
              <w:t xml:space="preserve">Перечень </w:t>
            </w:r>
            <w:r w:rsidRPr="00F34CDA">
              <w:rPr>
                <w:rFonts w:cs="Times New Roman"/>
                <w:color w:val="000000" w:themeColor="text1"/>
                <w:sz w:val="20"/>
                <w:szCs w:val="20"/>
              </w:rPr>
              <w:t>благоустроенных общественных территорий</w:t>
            </w:r>
          </w:p>
          <w:p w14:paraId="78DBA69F" w14:textId="77777777" w:rsidR="00F34CDA" w:rsidRPr="00F34CDA" w:rsidRDefault="00F34CDA" w:rsidP="00C949C2">
            <w:pPr>
              <w:spacing w:line="20" w:lineRule="atLeast"/>
              <w:contextualSpacing/>
              <w:rPr>
                <w:rFonts w:eastAsia="Arial Unicode MS" w:cs="Times New Roman"/>
                <w:color w:val="000000"/>
                <w:sz w:val="20"/>
                <w:szCs w:val="20"/>
              </w:rPr>
            </w:pPr>
            <w:r w:rsidRPr="00F34CDA">
              <w:rPr>
                <w:rFonts w:eastAsia="Arial Unicode MS" w:cs="Times New Roman"/>
                <w:color w:val="000000"/>
                <w:sz w:val="20"/>
                <w:szCs w:val="20"/>
              </w:rPr>
              <w:t>городского округа Домодедово в отчетном году</w:t>
            </w:r>
          </w:p>
        </w:tc>
        <w:tc>
          <w:tcPr>
            <w:tcW w:w="2297" w:type="dxa"/>
            <w:shd w:val="clear" w:color="auto" w:fill="auto"/>
          </w:tcPr>
          <w:p w14:paraId="1D942138"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05127C91" w14:textId="77777777" w:rsidTr="00C949C2">
        <w:trPr>
          <w:trHeight w:val="1113"/>
        </w:trPr>
        <w:tc>
          <w:tcPr>
            <w:tcW w:w="739" w:type="dxa"/>
            <w:shd w:val="clear" w:color="auto" w:fill="auto"/>
          </w:tcPr>
          <w:p w14:paraId="47C24FC5"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t>2</w:t>
            </w:r>
          </w:p>
        </w:tc>
        <w:tc>
          <w:tcPr>
            <w:tcW w:w="2948" w:type="dxa"/>
            <w:shd w:val="clear" w:color="auto" w:fill="auto"/>
          </w:tcPr>
          <w:p w14:paraId="047B254B" w14:textId="77777777" w:rsidR="00F34CDA" w:rsidRPr="00F34CDA" w:rsidRDefault="00F34CDA" w:rsidP="00C949C2">
            <w:pPr>
              <w:rPr>
                <w:rFonts w:cs="Times New Roman"/>
                <w:color w:val="000000" w:themeColor="text1"/>
                <w:sz w:val="20"/>
                <w:szCs w:val="20"/>
              </w:rPr>
            </w:pPr>
            <w:r w:rsidRPr="00F34CDA">
              <w:rPr>
                <w:rFonts w:cs="Times New Roman"/>
                <w:color w:val="000000" w:themeColor="text1"/>
                <w:sz w:val="20"/>
                <w:szCs w:val="20"/>
              </w:rPr>
              <w:t>Количество благоустроенных общественных территорий (нарастающим итогом)</w:t>
            </w:r>
          </w:p>
          <w:p w14:paraId="035250DE" w14:textId="77777777" w:rsidR="00F34CDA" w:rsidRPr="00F34CDA" w:rsidRDefault="00F34CDA" w:rsidP="00C949C2">
            <w:pPr>
              <w:rPr>
                <w:rFonts w:cs="Times New Roman"/>
                <w:color w:val="000000" w:themeColor="text1"/>
                <w:sz w:val="20"/>
                <w:szCs w:val="20"/>
              </w:rPr>
            </w:pPr>
          </w:p>
        </w:tc>
        <w:tc>
          <w:tcPr>
            <w:tcW w:w="1162" w:type="dxa"/>
            <w:shd w:val="clear" w:color="auto" w:fill="auto"/>
            <w:vAlign w:val="center"/>
          </w:tcPr>
          <w:p w14:paraId="07F504FB" w14:textId="77777777" w:rsidR="00F34CDA" w:rsidRPr="00F34CDA" w:rsidRDefault="00F34CDA" w:rsidP="00C949C2">
            <w:pPr>
              <w:autoSpaceDE w:val="0"/>
              <w:autoSpaceDN w:val="0"/>
              <w:adjustRightInd w:val="0"/>
              <w:jc w:val="center"/>
              <w:rPr>
                <w:rFonts w:cs="Times New Roman"/>
                <w:sz w:val="20"/>
                <w:szCs w:val="20"/>
              </w:rPr>
            </w:pPr>
            <w:r w:rsidRPr="00F34CDA">
              <w:rPr>
                <w:rFonts w:cs="Times New Roman"/>
                <w:sz w:val="20"/>
                <w:szCs w:val="20"/>
              </w:rPr>
              <w:t>Единица</w:t>
            </w:r>
          </w:p>
        </w:tc>
        <w:tc>
          <w:tcPr>
            <w:tcW w:w="5669" w:type="dxa"/>
            <w:shd w:val="clear" w:color="auto" w:fill="auto"/>
          </w:tcPr>
          <w:p w14:paraId="5DCCCABB" w14:textId="77777777" w:rsidR="00F34CDA" w:rsidRPr="00F34CDA" w:rsidRDefault="00F34CDA" w:rsidP="00C949C2">
            <w:pPr>
              <w:widowControl w:val="0"/>
              <w:autoSpaceDE w:val="0"/>
              <w:autoSpaceDN w:val="0"/>
              <w:adjustRightInd w:val="0"/>
              <w:rPr>
                <w:rFonts w:eastAsiaTheme="minorEastAsia" w:cs="Times New Roman"/>
                <w:color w:val="000000" w:themeColor="text1"/>
                <w:sz w:val="20"/>
                <w:szCs w:val="20"/>
                <w:lang w:eastAsia="ru-RU"/>
              </w:rPr>
            </w:pPr>
            <w:r w:rsidRPr="00F34CDA">
              <w:rPr>
                <w:rFonts w:eastAsiaTheme="minorEastAsia" w:cs="Times New Roman"/>
                <w:color w:val="000000" w:themeColor="text1"/>
                <w:sz w:val="20"/>
                <w:szCs w:val="20"/>
                <w:lang w:eastAsia="ru-RU"/>
              </w:rPr>
              <w:t xml:space="preserve">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w:t>
            </w:r>
            <w:r w:rsidRPr="00F34CDA">
              <w:rPr>
                <w:rFonts w:eastAsiaTheme="minorEastAsia" w:cs="Times New Roman"/>
                <w:color w:val="000000" w:themeColor="text1"/>
                <w:sz w:val="20"/>
                <w:szCs w:val="20"/>
                <w:lang w:eastAsia="ru-RU"/>
              </w:rPr>
              <w:lastRenderedPageBreak/>
              <w:t>«Об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148A4596" w14:textId="77777777" w:rsidR="00F34CDA" w:rsidRPr="00F34CDA" w:rsidRDefault="00F34CDA" w:rsidP="00C949C2">
            <w:pPr>
              <w:widowControl w:val="0"/>
              <w:autoSpaceDE w:val="0"/>
              <w:autoSpaceDN w:val="0"/>
              <w:adjustRightInd w:val="0"/>
              <w:rPr>
                <w:rFonts w:eastAsiaTheme="minorEastAsia" w:cs="Times New Roman"/>
                <w:color w:val="000000" w:themeColor="text1"/>
                <w:sz w:val="20"/>
                <w:szCs w:val="20"/>
                <w:lang w:eastAsia="ru-RU"/>
              </w:rPr>
            </w:pPr>
          </w:p>
          <w:p w14:paraId="179C57FF" w14:textId="77777777" w:rsidR="00F34CDA" w:rsidRPr="00F34CDA" w:rsidRDefault="00F34CDA" w:rsidP="00C949C2">
            <w:pPr>
              <w:widowControl w:val="0"/>
              <w:autoSpaceDE w:val="0"/>
              <w:autoSpaceDN w:val="0"/>
              <w:adjustRightInd w:val="0"/>
              <w:rPr>
                <w:rFonts w:eastAsiaTheme="minorEastAsia" w:cs="Times New Roman"/>
                <w:color w:val="000000" w:themeColor="text1"/>
                <w:sz w:val="20"/>
                <w:szCs w:val="20"/>
                <w:lang w:eastAsia="ru-RU"/>
              </w:rPr>
            </w:pPr>
            <w:r w:rsidRPr="00F34CDA">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2693" w:type="dxa"/>
          </w:tcPr>
          <w:p w14:paraId="63E89692" w14:textId="77777777" w:rsidR="00F34CDA" w:rsidRPr="00F34CDA" w:rsidRDefault="00F34CDA" w:rsidP="00C949C2">
            <w:pPr>
              <w:autoSpaceDE w:val="0"/>
              <w:autoSpaceDN w:val="0"/>
              <w:adjustRightInd w:val="0"/>
              <w:rPr>
                <w:rFonts w:eastAsia="Arial Unicode MS" w:cs="Times New Roman"/>
                <w:color w:val="000000"/>
                <w:sz w:val="20"/>
                <w:szCs w:val="20"/>
              </w:rPr>
            </w:pPr>
            <w:r w:rsidRPr="00F34CDA">
              <w:rPr>
                <w:rFonts w:eastAsia="Arial Unicode MS" w:cs="Times New Roman"/>
                <w:color w:val="000000"/>
                <w:sz w:val="20"/>
                <w:szCs w:val="20"/>
              </w:rPr>
              <w:lastRenderedPageBreak/>
              <w:t>Перечень благоустроенных общественных территорий</w:t>
            </w:r>
          </w:p>
          <w:p w14:paraId="6CE53D12" w14:textId="77777777" w:rsidR="00F34CDA" w:rsidRPr="00F34CDA" w:rsidRDefault="00F34CDA" w:rsidP="00C949C2">
            <w:pPr>
              <w:autoSpaceDE w:val="0"/>
              <w:autoSpaceDN w:val="0"/>
              <w:adjustRightInd w:val="0"/>
              <w:rPr>
                <w:rFonts w:eastAsia="Arial Unicode MS" w:cs="Times New Roman"/>
                <w:color w:val="000000"/>
                <w:sz w:val="20"/>
                <w:szCs w:val="20"/>
              </w:rPr>
            </w:pPr>
            <w:r w:rsidRPr="00F34CDA">
              <w:rPr>
                <w:rFonts w:eastAsia="Arial Unicode MS" w:cs="Times New Roman"/>
                <w:color w:val="000000"/>
                <w:sz w:val="20"/>
                <w:szCs w:val="20"/>
              </w:rPr>
              <w:t>городского округа Домодедово нарастающим итогом начиная с 2025 года.</w:t>
            </w:r>
          </w:p>
        </w:tc>
        <w:tc>
          <w:tcPr>
            <w:tcW w:w="2297" w:type="dxa"/>
            <w:shd w:val="clear" w:color="auto" w:fill="auto"/>
          </w:tcPr>
          <w:p w14:paraId="3164DA2B" w14:textId="77777777" w:rsidR="00F34CDA" w:rsidRPr="00F34CDA" w:rsidRDefault="00F34CDA" w:rsidP="00C949C2">
            <w:pPr>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252E7B7B" w14:textId="77777777" w:rsidTr="00C949C2">
        <w:trPr>
          <w:trHeight w:val="1113"/>
        </w:trPr>
        <w:tc>
          <w:tcPr>
            <w:tcW w:w="739" w:type="dxa"/>
            <w:shd w:val="clear" w:color="auto" w:fill="auto"/>
          </w:tcPr>
          <w:p w14:paraId="31416B18"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lastRenderedPageBreak/>
              <w:t>3</w:t>
            </w:r>
          </w:p>
        </w:tc>
        <w:tc>
          <w:tcPr>
            <w:tcW w:w="2948" w:type="dxa"/>
            <w:shd w:val="clear" w:color="auto" w:fill="auto"/>
          </w:tcPr>
          <w:p w14:paraId="35B635D6" w14:textId="77777777" w:rsidR="00F34CDA" w:rsidRPr="00F34CDA" w:rsidRDefault="00F34CDA" w:rsidP="00C949C2">
            <w:pPr>
              <w:rPr>
                <w:rFonts w:eastAsia="Arial Unicode MS" w:cs="Times New Roman"/>
                <w:color w:val="000000"/>
                <w:sz w:val="20"/>
                <w:szCs w:val="20"/>
              </w:rPr>
            </w:pPr>
            <w:r w:rsidRPr="00F34CDA">
              <w:rPr>
                <w:rFonts w:cs="Times New Roman"/>
                <w:color w:val="000000" w:themeColor="text1"/>
                <w:sz w:val="20"/>
                <w:szCs w:val="20"/>
              </w:rPr>
              <w:t>Количество установленных детских, игровых площадок</w:t>
            </w:r>
          </w:p>
        </w:tc>
        <w:tc>
          <w:tcPr>
            <w:tcW w:w="1162" w:type="dxa"/>
            <w:shd w:val="clear" w:color="auto" w:fill="auto"/>
            <w:vAlign w:val="center"/>
          </w:tcPr>
          <w:p w14:paraId="2A3C1C79" w14:textId="77777777" w:rsidR="00F34CDA" w:rsidRPr="00F34CDA" w:rsidRDefault="00F34CDA" w:rsidP="00C949C2">
            <w:pPr>
              <w:autoSpaceDE w:val="0"/>
              <w:autoSpaceDN w:val="0"/>
              <w:adjustRightInd w:val="0"/>
              <w:jc w:val="center"/>
              <w:rPr>
                <w:rFonts w:cs="Times New Roman"/>
                <w:sz w:val="20"/>
                <w:szCs w:val="20"/>
              </w:rPr>
            </w:pPr>
            <w:r w:rsidRPr="00F34CDA">
              <w:rPr>
                <w:rFonts w:cs="Times New Roman"/>
                <w:sz w:val="20"/>
                <w:szCs w:val="20"/>
              </w:rPr>
              <w:t>Единица</w:t>
            </w:r>
          </w:p>
        </w:tc>
        <w:tc>
          <w:tcPr>
            <w:tcW w:w="5669" w:type="dxa"/>
            <w:shd w:val="clear" w:color="auto" w:fill="auto"/>
          </w:tcPr>
          <w:p w14:paraId="5F1D1D9B" w14:textId="77777777" w:rsidR="00F34CDA" w:rsidRPr="00F34CDA" w:rsidRDefault="00F34CDA" w:rsidP="00C949C2">
            <w:pPr>
              <w:widowControl w:val="0"/>
              <w:autoSpaceDE w:val="0"/>
              <w:autoSpaceDN w:val="0"/>
              <w:adjustRightInd w:val="0"/>
              <w:rPr>
                <w:rFonts w:eastAsiaTheme="minorEastAsia" w:cs="Times New Roman"/>
                <w:color w:val="000000" w:themeColor="text1"/>
                <w:sz w:val="20"/>
                <w:szCs w:val="20"/>
                <w:lang w:eastAsia="ru-RU"/>
              </w:rPr>
            </w:pPr>
            <w:r w:rsidRPr="00F34CDA">
              <w:rPr>
                <w:rFonts w:eastAsiaTheme="minorEastAsia" w:cs="Times New Roman"/>
                <w:color w:val="000000" w:themeColor="text1"/>
                <w:sz w:val="20"/>
                <w:szCs w:val="20"/>
                <w:lang w:eastAsia="ru-RU"/>
              </w:rPr>
              <w:t xml:space="preserve">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B05A05E" w14:textId="77777777" w:rsidR="00F34CDA" w:rsidRPr="00F34CDA" w:rsidRDefault="00F34CDA" w:rsidP="00C949C2">
            <w:pPr>
              <w:widowControl w:val="0"/>
              <w:autoSpaceDE w:val="0"/>
              <w:autoSpaceDN w:val="0"/>
              <w:adjustRightInd w:val="0"/>
              <w:rPr>
                <w:rFonts w:eastAsiaTheme="minorEastAsia" w:cs="Times New Roman"/>
                <w:color w:val="000000" w:themeColor="text1"/>
                <w:sz w:val="20"/>
                <w:szCs w:val="20"/>
                <w:lang w:eastAsia="ru-RU"/>
              </w:rPr>
            </w:pPr>
          </w:p>
          <w:p w14:paraId="21E626EB" w14:textId="77777777" w:rsidR="00F34CDA" w:rsidRPr="00F34CDA" w:rsidRDefault="00F34CDA" w:rsidP="00C949C2">
            <w:pPr>
              <w:autoSpaceDE w:val="0"/>
              <w:autoSpaceDN w:val="0"/>
              <w:adjustRightInd w:val="0"/>
              <w:rPr>
                <w:rFonts w:eastAsia="Arial Unicode MS" w:cs="Times New Roman"/>
                <w:color w:val="000000"/>
                <w:sz w:val="20"/>
                <w:szCs w:val="20"/>
              </w:rPr>
            </w:pPr>
            <w:r w:rsidRPr="00F34CDA">
              <w:rPr>
                <w:rFonts w:eastAsiaTheme="minorEastAsia" w:cs="Times New Roman"/>
                <w:color w:val="000000" w:themeColor="text1"/>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693" w:type="dxa"/>
          </w:tcPr>
          <w:p w14:paraId="156FC716" w14:textId="77777777" w:rsidR="00F34CDA" w:rsidRPr="00F34CDA" w:rsidRDefault="00F34CDA" w:rsidP="00C949C2">
            <w:pPr>
              <w:autoSpaceDE w:val="0"/>
              <w:autoSpaceDN w:val="0"/>
              <w:adjustRightInd w:val="0"/>
              <w:rPr>
                <w:rFonts w:cs="Times New Roman"/>
                <w:sz w:val="20"/>
                <w:szCs w:val="20"/>
              </w:rPr>
            </w:pPr>
            <w:r w:rsidRPr="00F34CDA">
              <w:rPr>
                <w:rFonts w:eastAsia="Arial Unicode MS" w:cs="Times New Roman"/>
                <w:color w:val="000000"/>
                <w:sz w:val="20"/>
                <w:szCs w:val="20"/>
              </w:rPr>
              <w:t>Реестр установленных детских игровых площадок на территории городского округа Домодедово в отчетном году</w:t>
            </w:r>
          </w:p>
        </w:tc>
        <w:tc>
          <w:tcPr>
            <w:tcW w:w="2297" w:type="dxa"/>
            <w:shd w:val="clear" w:color="auto" w:fill="auto"/>
          </w:tcPr>
          <w:p w14:paraId="7C3555EE" w14:textId="77777777" w:rsidR="00F34CDA" w:rsidRPr="00F34CDA" w:rsidRDefault="00F34CDA" w:rsidP="00C949C2">
            <w:pPr>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6D3A1F5D" w14:textId="77777777" w:rsidTr="00C949C2">
        <w:trPr>
          <w:trHeight w:val="973"/>
        </w:trPr>
        <w:tc>
          <w:tcPr>
            <w:tcW w:w="739" w:type="dxa"/>
            <w:shd w:val="clear" w:color="auto" w:fill="auto"/>
          </w:tcPr>
          <w:p w14:paraId="0343E671"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t>4</w:t>
            </w:r>
          </w:p>
        </w:tc>
        <w:tc>
          <w:tcPr>
            <w:tcW w:w="2948" w:type="dxa"/>
            <w:shd w:val="clear" w:color="auto" w:fill="auto"/>
          </w:tcPr>
          <w:p w14:paraId="5EEC3ED6" w14:textId="77777777" w:rsidR="00F34CDA" w:rsidRPr="00F34CDA" w:rsidRDefault="00F34CDA" w:rsidP="00C949C2">
            <w:pPr>
              <w:rPr>
                <w:rFonts w:cs="Times New Roman"/>
                <w:color w:val="000000" w:themeColor="text1"/>
                <w:sz w:val="20"/>
                <w:szCs w:val="20"/>
              </w:rPr>
            </w:pPr>
            <w:r w:rsidRPr="00F34CDA">
              <w:rPr>
                <w:rFonts w:cs="Times New Roman"/>
                <w:color w:val="000000" w:themeColor="text1"/>
                <w:sz w:val="20"/>
                <w:szCs w:val="20"/>
              </w:rPr>
              <w:t>Устройство систем наружного освещения в рамках реализации проекта "Светлый город"</w:t>
            </w:r>
          </w:p>
        </w:tc>
        <w:tc>
          <w:tcPr>
            <w:tcW w:w="1162" w:type="dxa"/>
            <w:shd w:val="clear" w:color="auto" w:fill="auto"/>
            <w:vAlign w:val="center"/>
          </w:tcPr>
          <w:p w14:paraId="28338405" w14:textId="77777777" w:rsidR="00F34CDA" w:rsidRPr="00F34CDA" w:rsidRDefault="00F34CDA" w:rsidP="00C949C2">
            <w:pPr>
              <w:autoSpaceDE w:val="0"/>
              <w:autoSpaceDN w:val="0"/>
              <w:adjustRightInd w:val="0"/>
              <w:jc w:val="center"/>
              <w:rPr>
                <w:rFonts w:cs="Times New Roman"/>
                <w:sz w:val="20"/>
                <w:szCs w:val="20"/>
              </w:rPr>
            </w:pPr>
            <w:r w:rsidRPr="00F34CDA">
              <w:rPr>
                <w:rFonts w:cs="Times New Roman"/>
                <w:sz w:val="20"/>
                <w:szCs w:val="20"/>
              </w:rPr>
              <w:t>Единица</w:t>
            </w:r>
          </w:p>
        </w:tc>
        <w:tc>
          <w:tcPr>
            <w:tcW w:w="5669" w:type="dxa"/>
            <w:shd w:val="clear" w:color="auto" w:fill="auto"/>
          </w:tcPr>
          <w:p w14:paraId="5B5C69FD" w14:textId="77777777" w:rsidR="00F34CDA" w:rsidRPr="00F34CDA" w:rsidRDefault="00F34CDA" w:rsidP="00C949C2">
            <w:pPr>
              <w:autoSpaceDE w:val="0"/>
              <w:autoSpaceDN w:val="0"/>
              <w:adjustRightInd w:val="0"/>
              <w:rPr>
                <w:rFonts w:eastAsiaTheme="minorEastAsia" w:cs="Times New Roman"/>
                <w:color w:val="000000" w:themeColor="text1"/>
                <w:sz w:val="20"/>
                <w:szCs w:val="20"/>
                <w:lang w:eastAsia="ru-RU"/>
              </w:rPr>
            </w:pPr>
            <w:r w:rsidRPr="00F34CDA">
              <w:rPr>
                <w:rFonts w:eastAsiaTheme="minorEastAsia"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693" w:type="dxa"/>
          </w:tcPr>
          <w:p w14:paraId="035AF544" w14:textId="77777777" w:rsidR="00F34CDA" w:rsidRPr="00F34CDA" w:rsidRDefault="00F34CDA" w:rsidP="00C949C2">
            <w:pPr>
              <w:rPr>
                <w:rFonts w:eastAsiaTheme="minorEastAsia" w:cs="Times New Roman"/>
                <w:color w:val="000000" w:themeColor="text1"/>
                <w:sz w:val="20"/>
                <w:szCs w:val="20"/>
                <w:lang w:eastAsia="ru-RU"/>
              </w:rPr>
            </w:pPr>
            <w:r w:rsidRPr="00F34CDA">
              <w:rPr>
                <w:rFonts w:eastAsiaTheme="minorEastAsia" w:cs="Times New Roman"/>
                <w:color w:val="000000" w:themeColor="text1"/>
                <w:sz w:val="20"/>
                <w:szCs w:val="20"/>
                <w:lang w:eastAsia="ru-RU"/>
              </w:rPr>
              <w:t>Методикой расчета дотационных средств</w:t>
            </w:r>
          </w:p>
        </w:tc>
        <w:tc>
          <w:tcPr>
            <w:tcW w:w="2297" w:type="dxa"/>
            <w:shd w:val="clear" w:color="auto" w:fill="auto"/>
          </w:tcPr>
          <w:p w14:paraId="537FE9D3" w14:textId="77777777" w:rsidR="00F34CDA" w:rsidRPr="00F34CDA" w:rsidRDefault="00F34CDA" w:rsidP="00C949C2">
            <w:pPr>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48BCAC31" w14:textId="77777777" w:rsidTr="00C949C2">
        <w:trPr>
          <w:trHeight w:val="973"/>
        </w:trPr>
        <w:tc>
          <w:tcPr>
            <w:tcW w:w="739" w:type="dxa"/>
            <w:shd w:val="clear" w:color="auto" w:fill="auto"/>
          </w:tcPr>
          <w:p w14:paraId="69D21936"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t>5</w:t>
            </w:r>
          </w:p>
        </w:tc>
        <w:tc>
          <w:tcPr>
            <w:tcW w:w="2948" w:type="dxa"/>
            <w:shd w:val="clear" w:color="auto" w:fill="auto"/>
          </w:tcPr>
          <w:p w14:paraId="3C1E1225" w14:textId="77777777" w:rsidR="00F34CDA" w:rsidRPr="00F34CDA" w:rsidRDefault="00F34CDA" w:rsidP="00C949C2">
            <w:pPr>
              <w:rPr>
                <w:rFonts w:cs="Times New Roman"/>
                <w:sz w:val="20"/>
                <w:szCs w:val="20"/>
              </w:rPr>
            </w:pPr>
            <w:r w:rsidRPr="00F34CDA">
              <w:rPr>
                <w:rFonts w:cs="Times New Roman"/>
                <w:color w:val="000000" w:themeColor="text1"/>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62" w:type="dxa"/>
            <w:shd w:val="clear" w:color="auto" w:fill="auto"/>
            <w:vAlign w:val="center"/>
          </w:tcPr>
          <w:p w14:paraId="68AAF400" w14:textId="77777777" w:rsidR="00F34CDA" w:rsidRPr="00F34CDA" w:rsidRDefault="00F34CDA" w:rsidP="00C949C2">
            <w:pPr>
              <w:autoSpaceDE w:val="0"/>
              <w:autoSpaceDN w:val="0"/>
              <w:adjustRightInd w:val="0"/>
              <w:jc w:val="center"/>
              <w:rPr>
                <w:rFonts w:cs="Times New Roman"/>
                <w:sz w:val="20"/>
                <w:szCs w:val="20"/>
              </w:rPr>
            </w:pPr>
            <w:r w:rsidRPr="00F34CDA">
              <w:rPr>
                <w:rFonts w:cs="Times New Roman"/>
                <w:sz w:val="20"/>
                <w:szCs w:val="20"/>
              </w:rPr>
              <w:t>Единица</w:t>
            </w:r>
          </w:p>
        </w:tc>
        <w:tc>
          <w:tcPr>
            <w:tcW w:w="5669" w:type="dxa"/>
            <w:shd w:val="clear" w:color="auto" w:fill="auto"/>
          </w:tcPr>
          <w:p w14:paraId="015F86AF" w14:textId="77777777" w:rsidR="00F34CDA" w:rsidRPr="00F34CDA" w:rsidRDefault="00F34CDA" w:rsidP="00C949C2">
            <w:pPr>
              <w:autoSpaceDE w:val="0"/>
              <w:autoSpaceDN w:val="0"/>
              <w:adjustRightInd w:val="0"/>
              <w:rPr>
                <w:rFonts w:cs="Times New Roman"/>
                <w:sz w:val="20"/>
                <w:szCs w:val="20"/>
              </w:rPr>
            </w:pPr>
            <w:r w:rsidRPr="00F34CDA">
              <w:rPr>
                <w:rFonts w:eastAsiaTheme="minorEastAsia" w:cs="Times New Roman"/>
                <w:color w:val="000000" w:themeColor="text1"/>
                <w:sz w:val="20"/>
                <w:szCs w:val="20"/>
                <w:lang w:eastAsia="ru-RU"/>
              </w:rPr>
              <w:t xml:space="preserve">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w:t>
            </w:r>
            <w:r w:rsidRPr="00F34CDA">
              <w:rPr>
                <w:rFonts w:eastAsiaTheme="minorEastAsia" w:cs="Times New Roman"/>
                <w:color w:val="000000" w:themeColor="text1"/>
                <w:sz w:val="20"/>
                <w:szCs w:val="20"/>
                <w:lang w:eastAsia="ru-RU"/>
              </w:rPr>
              <w:lastRenderedPageBreak/>
              <w:t>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2693" w:type="dxa"/>
          </w:tcPr>
          <w:p w14:paraId="48BEA384" w14:textId="77777777" w:rsidR="00F34CDA" w:rsidRPr="00F34CDA" w:rsidRDefault="00F34CDA" w:rsidP="00C949C2">
            <w:pPr>
              <w:rPr>
                <w:rFonts w:cs="Times New Roman"/>
                <w:sz w:val="20"/>
                <w:szCs w:val="20"/>
              </w:rPr>
            </w:pPr>
            <w:r w:rsidRPr="00F34CDA">
              <w:rPr>
                <w:rFonts w:eastAsiaTheme="minorEastAsia" w:cs="Times New Roman"/>
                <w:color w:val="000000" w:themeColor="text1"/>
                <w:sz w:val="20"/>
                <w:szCs w:val="20"/>
                <w:lang w:eastAsia="ru-RU"/>
              </w:rPr>
              <w:lastRenderedPageBreak/>
              <w:t xml:space="preserve">Проекты, победившие во Всероссийском конкурсе лучших проектов создания комфортной городской среды </w:t>
            </w:r>
            <w:r w:rsidRPr="00F34CDA">
              <w:rPr>
                <w:rFonts w:eastAsia="Arial Unicode MS" w:cs="Times New Roman"/>
                <w:color w:val="000000"/>
                <w:sz w:val="20"/>
                <w:szCs w:val="20"/>
              </w:rPr>
              <w:t>на территории городского округа Домодедово в отчетном году</w:t>
            </w:r>
          </w:p>
        </w:tc>
        <w:tc>
          <w:tcPr>
            <w:tcW w:w="2297" w:type="dxa"/>
            <w:shd w:val="clear" w:color="auto" w:fill="auto"/>
          </w:tcPr>
          <w:p w14:paraId="5493E4C8" w14:textId="77777777" w:rsidR="00F34CDA" w:rsidRPr="00F34CDA" w:rsidRDefault="00F34CDA" w:rsidP="00C949C2">
            <w:pPr>
              <w:jc w:val="center"/>
              <w:rPr>
                <w:rFonts w:cs="Times New Roman"/>
                <w:sz w:val="20"/>
                <w:szCs w:val="20"/>
              </w:rPr>
            </w:pPr>
            <w:r w:rsidRPr="00F34CDA">
              <w:rPr>
                <w:rFonts w:eastAsia="Arial Unicode MS" w:cs="Times New Roman"/>
                <w:color w:val="000000"/>
                <w:sz w:val="20"/>
                <w:szCs w:val="20"/>
              </w:rPr>
              <w:t>Ежегодная</w:t>
            </w:r>
          </w:p>
        </w:tc>
      </w:tr>
      <w:tr w:rsidR="00F34CDA" w:rsidRPr="00F34CDA" w14:paraId="57E5DAEE" w14:textId="77777777" w:rsidTr="00C949C2">
        <w:trPr>
          <w:trHeight w:val="1002"/>
        </w:trPr>
        <w:tc>
          <w:tcPr>
            <w:tcW w:w="739" w:type="dxa"/>
            <w:shd w:val="clear" w:color="auto" w:fill="auto"/>
          </w:tcPr>
          <w:p w14:paraId="09269DFC"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lastRenderedPageBreak/>
              <w:t>6</w:t>
            </w:r>
          </w:p>
        </w:tc>
        <w:tc>
          <w:tcPr>
            <w:tcW w:w="2948" w:type="dxa"/>
            <w:shd w:val="clear" w:color="auto" w:fill="auto"/>
          </w:tcPr>
          <w:p w14:paraId="29877948" w14:textId="77777777" w:rsidR="00F34CDA" w:rsidRPr="00F34CDA" w:rsidRDefault="00F34CDA" w:rsidP="00C949C2">
            <w:pPr>
              <w:pStyle w:val="ConsPlusNormal"/>
              <w:rPr>
                <w:rFonts w:ascii="Times New Roman" w:hAnsi="Times New Roman" w:cs="Times New Roman"/>
                <w:sz w:val="20"/>
              </w:rPr>
            </w:pPr>
            <w:r w:rsidRPr="00F34CDA">
              <w:rPr>
                <w:rFonts w:ascii="Times New Roman" w:hAnsi="Times New Roman" w:cs="Times New Roman"/>
                <w:sz w:val="20"/>
              </w:rPr>
              <w:t>Выполнен ремонт асфальтового покрытия дворовых территорий</w:t>
            </w:r>
          </w:p>
          <w:p w14:paraId="4D44837E" w14:textId="77777777" w:rsidR="00F34CDA" w:rsidRPr="00F34CDA" w:rsidRDefault="00F34CDA" w:rsidP="00C949C2">
            <w:pPr>
              <w:spacing w:line="20" w:lineRule="atLeast"/>
              <w:ind w:left="-108"/>
              <w:contextualSpacing/>
              <w:rPr>
                <w:rFonts w:eastAsia="Arial Unicode MS" w:cs="Times New Roman"/>
                <w:color w:val="000000"/>
                <w:sz w:val="20"/>
                <w:szCs w:val="20"/>
              </w:rPr>
            </w:pPr>
          </w:p>
        </w:tc>
        <w:tc>
          <w:tcPr>
            <w:tcW w:w="1162" w:type="dxa"/>
            <w:shd w:val="clear" w:color="auto" w:fill="auto"/>
            <w:vAlign w:val="center"/>
          </w:tcPr>
          <w:p w14:paraId="5875456D" w14:textId="77777777" w:rsidR="00F34CDA" w:rsidRPr="00F34CDA" w:rsidRDefault="00F34CDA" w:rsidP="00C949C2">
            <w:pPr>
              <w:jc w:val="center"/>
              <w:rPr>
                <w:rFonts w:cs="Times New Roman"/>
                <w:sz w:val="20"/>
                <w:szCs w:val="20"/>
              </w:rPr>
            </w:pPr>
            <w:r w:rsidRPr="00F34CDA">
              <w:rPr>
                <w:rFonts w:cs="Times New Roman"/>
                <w:sz w:val="20"/>
                <w:szCs w:val="20"/>
              </w:rPr>
              <w:t>Единица</w:t>
            </w:r>
          </w:p>
        </w:tc>
        <w:tc>
          <w:tcPr>
            <w:tcW w:w="5669" w:type="dxa"/>
            <w:shd w:val="clear" w:color="auto" w:fill="auto"/>
          </w:tcPr>
          <w:p w14:paraId="25F53978"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Theme="minorEastAsia" w:cs="Times New Roman"/>
                <w:sz w:val="20"/>
                <w:szCs w:val="20"/>
                <w:lang w:eastAsia="ru-RU"/>
              </w:rPr>
              <w:t>Значение показателя определяется фактическим количеством благоустроенных дворовых территорий, на которых реализованы мероприятия с участием средств бюджета Московской области</w:t>
            </w:r>
          </w:p>
        </w:tc>
        <w:tc>
          <w:tcPr>
            <w:tcW w:w="2693" w:type="dxa"/>
          </w:tcPr>
          <w:p w14:paraId="4BAA8663" w14:textId="77777777" w:rsidR="00F34CDA" w:rsidRPr="00F34CDA" w:rsidRDefault="00F34CDA" w:rsidP="00C949C2">
            <w:pPr>
              <w:spacing w:line="20" w:lineRule="atLeast"/>
              <w:ind w:left="-109" w:right="-108"/>
              <w:contextualSpacing/>
              <w:rPr>
                <w:rFonts w:eastAsia="Arial Unicode MS" w:cs="Times New Roman"/>
                <w:color w:val="000000"/>
                <w:sz w:val="20"/>
                <w:szCs w:val="20"/>
              </w:rPr>
            </w:pPr>
            <w:r w:rsidRPr="00F34CDA">
              <w:rPr>
                <w:rFonts w:eastAsia="Arial Unicode MS" w:cs="Times New Roman"/>
                <w:color w:val="000000"/>
                <w:sz w:val="20"/>
                <w:szCs w:val="20"/>
              </w:rPr>
              <w:t xml:space="preserve">Перечень </w:t>
            </w:r>
            <w:r w:rsidRPr="00F34CDA">
              <w:rPr>
                <w:rFonts w:cs="Times New Roman"/>
                <w:color w:val="000000" w:themeColor="text1"/>
                <w:sz w:val="20"/>
                <w:szCs w:val="20"/>
              </w:rPr>
              <w:t xml:space="preserve">благоустроенных дворовых территорий </w:t>
            </w:r>
            <w:r w:rsidRPr="00F34CDA">
              <w:rPr>
                <w:rFonts w:eastAsia="Arial Unicode MS" w:cs="Times New Roman"/>
                <w:color w:val="000000"/>
                <w:sz w:val="20"/>
                <w:szCs w:val="20"/>
              </w:rPr>
              <w:t>городского округа Домодедово в отчетном году</w:t>
            </w:r>
          </w:p>
        </w:tc>
        <w:tc>
          <w:tcPr>
            <w:tcW w:w="2297" w:type="dxa"/>
            <w:shd w:val="clear" w:color="auto" w:fill="auto"/>
          </w:tcPr>
          <w:p w14:paraId="67F25CFA"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0D10A909" w14:textId="77777777" w:rsidTr="00C949C2">
        <w:trPr>
          <w:trHeight w:val="1002"/>
        </w:trPr>
        <w:tc>
          <w:tcPr>
            <w:tcW w:w="739" w:type="dxa"/>
            <w:shd w:val="clear" w:color="auto" w:fill="auto"/>
          </w:tcPr>
          <w:p w14:paraId="280CBCD2"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t>7</w:t>
            </w:r>
          </w:p>
        </w:tc>
        <w:tc>
          <w:tcPr>
            <w:tcW w:w="2948" w:type="dxa"/>
            <w:shd w:val="clear" w:color="auto" w:fill="auto"/>
          </w:tcPr>
          <w:p w14:paraId="0BB48E66" w14:textId="77777777" w:rsidR="00F34CDA" w:rsidRPr="00F34CDA" w:rsidRDefault="00F34CDA" w:rsidP="00C949C2">
            <w:pPr>
              <w:pStyle w:val="ConsPlusNormal"/>
              <w:rPr>
                <w:rFonts w:ascii="Times New Roman" w:hAnsi="Times New Roman" w:cs="Times New Roman"/>
                <w:sz w:val="20"/>
              </w:rPr>
            </w:pPr>
            <w:r w:rsidRPr="00F34CDA">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28C784D2" w14:textId="77777777" w:rsidR="00F34CDA" w:rsidRPr="00F34CDA" w:rsidRDefault="00F34CDA" w:rsidP="00C949C2">
            <w:pPr>
              <w:spacing w:line="20" w:lineRule="atLeast"/>
              <w:ind w:left="-108"/>
              <w:contextualSpacing/>
              <w:rPr>
                <w:rFonts w:eastAsia="Arial Unicode MS" w:cs="Times New Roman"/>
                <w:color w:val="000000"/>
                <w:sz w:val="20"/>
                <w:szCs w:val="20"/>
              </w:rPr>
            </w:pPr>
          </w:p>
        </w:tc>
        <w:tc>
          <w:tcPr>
            <w:tcW w:w="1162" w:type="dxa"/>
            <w:shd w:val="clear" w:color="auto" w:fill="auto"/>
            <w:vAlign w:val="center"/>
          </w:tcPr>
          <w:p w14:paraId="093F34C0" w14:textId="77777777" w:rsidR="00F34CDA" w:rsidRPr="00F34CDA" w:rsidRDefault="00F34CDA" w:rsidP="00C949C2">
            <w:pPr>
              <w:jc w:val="center"/>
              <w:rPr>
                <w:rFonts w:cs="Times New Roman"/>
                <w:sz w:val="20"/>
                <w:szCs w:val="20"/>
              </w:rPr>
            </w:pPr>
            <w:proofErr w:type="spellStart"/>
            <w:r w:rsidRPr="00F34CDA">
              <w:rPr>
                <w:rFonts w:cs="Times New Roman"/>
                <w:sz w:val="20"/>
                <w:szCs w:val="20"/>
              </w:rPr>
              <w:t>Кв.м</w:t>
            </w:r>
            <w:proofErr w:type="spellEnd"/>
            <w:r w:rsidRPr="00F34CDA">
              <w:rPr>
                <w:rFonts w:cs="Times New Roman"/>
                <w:sz w:val="20"/>
                <w:szCs w:val="20"/>
              </w:rPr>
              <w:t>.</w:t>
            </w:r>
          </w:p>
        </w:tc>
        <w:tc>
          <w:tcPr>
            <w:tcW w:w="5669" w:type="dxa"/>
            <w:shd w:val="clear" w:color="auto" w:fill="auto"/>
          </w:tcPr>
          <w:p w14:paraId="58D74FAA"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Theme="minorEastAsia" w:cs="Times New Roman"/>
                <w:sz w:val="20"/>
                <w:szCs w:val="20"/>
                <w:lang w:eastAsia="ru-RU"/>
              </w:rPr>
              <w:t xml:space="preserve">Значение показателя определяется площадью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w:t>
            </w:r>
          </w:p>
        </w:tc>
        <w:tc>
          <w:tcPr>
            <w:tcW w:w="2693" w:type="dxa"/>
          </w:tcPr>
          <w:p w14:paraId="57180326" w14:textId="77777777" w:rsidR="00F34CDA" w:rsidRPr="00F34CDA" w:rsidRDefault="00F34CDA" w:rsidP="00C949C2">
            <w:pPr>
              <w:spacing w:line="20" w:lineRule="atLeast"/>
              <w:ind w:left="-109" w:right="-108"/>
              <w:contextualSpacing/>
              <w:rPr>
                <w:rFonts w:eastAsia="Arial Unicode MS" w:cs="Times New Roman"/>
                <w:color w:val="000000"/>
                <w:sz w:val="20"/>
                <w:szCs w:val="20"/>
              </w:rPr>
            </w:pPr>
            <w:r w:rsidRPr="00F34CDA">
              <w:rPr>
                <w:rFonts w:eastAsia="Arial Unicode MS" w:cs="Times New Roman"/>
                <w:color w:val="000000"/>
                <w:sz w:val="20"/>
                <w:szCs w:val="20"/>
              </w:rPr>
              <w:t xml:space="preserve">Реестр устраненных дефектов </w:t>
            </w:r>
            <w:r w:rsidRPr="00F34CDA">
              <w:rPr>
                <w:rFonts w:cs="Times New Roman"/>
                <w:color w:val="000000" w:themeColor="text1"/>
                <w:sz w:val="20"/>
                <w:szCs w:val="20"/>
              </w:rPr>
              <w:t xml:space="preserve">асфальтового покрытия </w:t>
            </w:r>
            <w:r w:rsidRPr="00F34CDA">
              <w:rPr>
                <w:rFonts w:eastAsia="Arial Unicode MS" w:cs="Times New Roman"/>
                <w:color w:val="000000"/>
                <w:sz w:val="20"/>
                <w:szCs w:val="20"/>
              </w:rPr>
              <w:t>на территории городского округа Домодедово в отчетном году</w:t>
            </w:r>
          </w:p>
        </w:tc>
        <w:tc>
          <w:tcPr>
            <w:tcW w:w="2297" w:type="dxa"/>
            <w:shd w:val="clear" w:color="auto" w:fill="auto"/>
          </w:tcPr>
          <w:p w14:paraId="4F3DB334"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41E1F147" w14:textId="77777777" w:rsidTr="00C949C2">
        <w:trPr>
          <w:trHeight w:val="1002"/>
        </w:trPr>
        <w:tc>
          <w:tcPr>
            <w:tcW w:w="739" w:type="dxa"/>
            <w:shd w:val="clear" w:color="auto" w:fill="auto"/>
          </w:tcPr>
          <w:p w14:paraId="53317B43" w14:textId="77777777" w:rsidR="00F34CDA" w:rsidRPr="00F34CDA" w:rsidRDefault="00F34CDA" w:rsidP="00C949C2">
            <w:pPr>
              <w:spacing w:line="20" w:lineRule="atLeast"/>
              <w:contextualSpacing/>
              <w:jc w:val="center"/>
              <w:rPr>
                <w:rFonts w:eastAsia="Arial Unicode MS" w:cs="Times New Roman"/>
                <w:color w:val="000000"/>
                <w:sz w:val="20"/>
                <w:szCs w:val="20"/>
              </w:rPr>
            </w:pPr>
            <w:r w:rsidRPr="00F34CDA">
              <w:rPr>
                <w:rFonts w:eastAsia="Arial Unicode MS" w:cs="Times New Roman"/>
                <w:color w:val="000000"/>
                <w:sz w:val="20"/>
                <w:szCs w:val="20"/>
              </w:rPr>
              <w:t>8</w:t>
            </w:r>
          </w:p>
        </w:tc>
        <w:tc>
          <w:tcPr>
            <w:tcW w:w="2948" w:type="dxa"/>
            <w:shd w:val="clear" w:color="auto" w:fill="auto"/>
          </w:tcPr>
          <w:p w14:paraId="2C528DA3" w14:textId="77777777" w:rsidR="00F34CDA" w:rsidRPr="00F34CDA" w:rsidRDefault="00F34CDA" w:rsidP="00C949C2">
            <w:pPr>
              <w:spacing w:line="20" w:lineRule="atLeast"/>
              <w:ind w:left="-108"/>
              <w:contextualSpacing/>
              <w:rPr>
                <w:rFonts w:eastAsia="Arial Unicode MS" w:cs="Times New Roman"/>
                <w:color w:val="000000"/>
                <w:sz w:val="20"/>
                <w:szCs w:val="20"/>
              </w:rPr>
            </w:pPr>
            <w:r w:rsidRPr="00F34CDA">
              <w:rPr>
                <w:rFonts w:cs="Times New Roman"/>
                <w:sz w:val="20"/>
                <w:szCs w:val="20"/>
              </w:rPr>
              <w:t>Созданы и отремонтированы пешеходные коммуникации</w:t>
            </w:r>
          </w:p>
        </w:tc>
        <w:tc>
          <w:tcPr>
            <w:tcW w:w="1162" w:type="dxa"/>
            <w:shd w:val="clear" w:color="auto" w:fill="auto"/>
            <w:vAlign w:val="center"/>
          </w:tcPr>
          <w:p w14:paraId="761066F3" w14:textId="77777777" w:rsidR="00F34CDA" w:rsidRPr="00F34CDA" w:rsidRDefault="00F34CDA" w:rsidP="00C949C2">
            <w:pPr>
              <w:jc w:val="center"/>
              <w:rPr>
                <w:rFonts w:cs="Times New Roman"/>
                <w:sz w:val="20"/>
                <w:szCs w:val="20"/>
              </w:rPr>
            </w:pPr>
            <w:r w:rsidRPr="00F34CDA">
              <w:rPr>
                <w:rFonts w:cs="Times New Roman"/>
                <w:sz w:val="20"/>
                <w:szCs w:val="20"/>
              </w:rPr>
              <w:t>Единица</w:t>
            </w:r>
          </w:p>
        </w:tc>
        <w:tc>
          <w:tcPr>
            <w:tcW w:w="5669" w:type="dxa"/>
            <w:shd w:val="clear" w:color="auto" w:fill="auto"/>
          </w:tcPr>
          <w:p w14:paraId="6E4A7614"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Theme="minorEastAsia" w:cs="Times New Roman"/>
                <w:sz w:val="20"/>
                <w:szCs w:val="20"/>
                <w:lang w:eastAsia="ru-RU"/>
              </w:rPr>
              <w:t xml:space="preserve">Значение показателя определяется как общее количество </w:t>
            </w:r>
            <w:r w:rsidRPr="00F34CDA">
              <w:rPr>
                <w:rFonts w:cs="Times New Roman"/>
                <w:color w:val="000000" w:themeColor="text1"/>
                <w:sz w:val="20"/>
                <w:szCs w:val="20"/>
              </w:rPr>
              <w:t>созданных и отремонтированных пешеходных коммуникаций</w:t>
            </w:r>
            <w:r w:rsidRPr="00F34CDA">
              <w:rPr>
                <w:rFonts w:eastAsiaTheme="minorEastAsia" w:cs="Times New Roman"/>
                <w:sz w:val="20"/>
                <w:szCs w:val="20"/>
                <w:lang w:eastAsia="ru-RU"/>
              </w:rPr>
              <w:t xml:space="preserve"> на территории </w:t>
            </w:r>
            <w:r w:rsidRPr="00F34CDA">
              <w:rPr>
                <w:rFonts w:eastAsia="Arial Unicode MS" w:cs="Times New Roman"/>
                <w:color w:val="000000"/>
                <w:sz w:val="20"/>
                <w:szCs w:val="20"/>
              </w:rPr>
              <w:t>городского округа Домодедово</w:t>
            </w:r>
            <w:r w:rsidRPr="00F34CDA">
              <w:rPr>
                <w:rFonts w:eastAsiaTheme="minorEastAsia" w:cs="Times New Roman"/>
                <w:sz w:val="20"/>
                <w:szCs w:val="20"/>
                <w:lang w:eastAsia="ru-RU"/>
              </w:rPr>
              <w:t>, на которых реализованы мероприятия с участием средств бюджета Московской области</w:t>
            </w:r>
          </w:p>
        </w:tc>
        <w:tc>
          <w:tcPr>
            <w:tcW w:w="2693" w:type="dxa"/>
          </w:tcPr>
          <w:p w14:paraId="39A0DC92"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Arial Unicode MS" w:cs="Times New Roman"/>
                <w:color w:val="000000"/>
                <w:sz w:val="20"/>
                <w:szCs w:val="20"/>
              </w:rPr>
              <w:t xml:space="preserve">Перечень </w:t>
            </w:r>
            <w:r w:rsidRPr="00F34CDA">
              <w:rPr>
                <w:rFonts w:cs="Times New Roman"/>
                <w:color w:val="000000" w:themeColor="text1"/>
                <w:sz w:val="20"/>
                <w:szCs w:val="20"/>
              </w:rPr>
              <w:t>созданных и отремонтированных пешеходных коммуникаций</w:t>
            </w:r>
            <w:r w:rsidRPr="00F34CDA">
              <w:rPr>
                <w:rFonts w:eastAsia="Arial Unicode MS" w:cs="Times New Roman"/>
                <w:color w:val="000000"/>
                <w:sz w:val="20"/>
                <w:szCs w:val="20"/>
              </w:rPr>
              <w:t xml:space="preserve"> городского округа Домодедово в отчетном году</w:t>
            </w:r>
          </w:p>
        </w:tc>
        <w:tc>
          <w:tcPr>
            <w:tcW w:w="2297" w:type="dxa"/>
            <w:shd w:val="clear" w:color="auto" w:fill="auto"/>
          </w:tcPr>
          <w:p w14:paraId="6B3A97E4"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0B8A88AD" w14:textId="77777777" w:rsidTr="00C949C2">
        <w:trPr>
          <w:trHeight w:val="1196"/>
        </w:trPr>
        <w:tc>
          <w:tcPr>
            <w:tcW w:w="739" w:type="dxa"/>
            <w:shd w:val="clear" w:color="auto" w:fill="auto"/>
          </w:tcPr>
          <w:p w14:paraId="13F1F68E" w14:textId="77777777" w:rsidR="00F34CDA" w:rsidRPr="00F34CDA" w:rsidRDefault="00F34CDA" w:rsidP="00C949C2">
            <w:pPr>
              <w:jc w:val="center"/>
              <w:rPr>
                <w:rFonts w:cs="Times New Roman"/>
                <w:sz w:val="20"/>
                <w:szCs w:val="20"/>
              </w:rPr>
            </w:pPr>
            <w:r w:rsidRPr="00F34CDA">
              <w:rPr>
                <w:rFonts w:cs="Times New Roman"/>
                <w:sz w:val="20"/>
                <w:szCs w:val="20"/>
              </w:rPr>
              <w:t>9</w:t>
            </w:r>
          </w:p>
        </w:tc>
        <w:tc>
          <w:tcPr>
            <w:tcW w:w="2948" w:type="dxa"/>
            <w:shd w:val="clear" w:color="auto" w:fill="auto"/>
          </w:tcPr>
          <w:p w14:paraId="448C5D2F" w14:textId="77777777" w:rsidR="00F34CDA" w:rsidRPr="00F34CDA" w:rsidRDefault="00F34CDA" w:rsidP="00C949C2">
            <w:pPr>
              <w:spacing w:line="20" w:lineRule="atLeast"/>
              <w:ind w:left="-108" w:right="-108"/>
              <w:contextualSpacing/>
              <w:rPr>
                <w:rFonts w:eastAsia="Arial Unicode MS" w:cs="Times New Roman"/>
                <w:color w:val="000000"/>
                <w:sz w:val="20"/>
                <w:szCs w:val="20"/>
              </w:rPr>
            </w:pPr>
            <w:r w:rsidRPr="00F34CDA">
              <w:rPr>
                <w:rFonts w:cs="Times New Roman"/>
                <w:sz w:val="20"/>
                <w:szCs w:val="20"/>
              </w:rPr>
              <w:t>Приобретена коммунальная техника</w:t>
            </w:r>
          </w:p>
        </w:tc>
        <w:tc>
          <w:tcPr>
            <w:tcW w:w="1162" w:type="dxa"/>
            <w:shd w:val="clear" w:color="auto" w:fill="auto"/>
            <w:vAlign w:val="center"/>
          </w:tcPr>
          <w:p w14:paraId="57DFA55F" w14:textId="77777777" w:rsidR="00F34CDA" w:rsidRPr="00F34CDA" w:rsidRDefault="00F34CDA" w:rsidP="00C949C2">
            <w:pPr>
              <w:rPr>
                <w:rFonts w:cs="Times New Roman"/>
                <w:sz w:val="20"/>
                <w:szCs w:val="20"/>
              </w:rPr>
            </w:pPr>
            <w:r w:rsidRPr="00F34CDA">
              <w:rPr>
                <w:rFonts w:cs="Times New Roman"/>
                <w:sz w:val="20"/>
                <w:szCs w:val="20"/>
              </w:rPr>
              <w:t>Единица</w:t>
            </w:r>
          </w:p>
        </w:tc>
        <w:tc>
          <w:tcPr>
            <w:tcW w:w="5669" w:type="dxa"/>
            <w:shd w:val="clear" w:color="auto" w:fill="auto"/>
          </w:tcPr>
          <w:p w14:paraId="39D80A6C"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Theme="minorEastAsia" w:cs="Times New Roman"/>
                <w:sz w:val="20"/>
                <w:szCs w:val="20"/>
                <w:lang w:eastAsia="ru-RU"/>
              </w:rPr>
              <w:t>Значение показателя определяется фактическим количеством закупленной коммунальной техники</w:t>
            </w:r>
          </w:p>
        </w:tc>
        <w:tc>
          <w:tcPr>
            <w:tcW w:w="2693" w:type="dxa"/>
          </w:tcPr>
          <w:p w14:paraId="3014B411"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cs="Times New Roman"/>
                <w:color w:val="000000" w:themeColor="text1"/>
                <w:sz w:val="20"/>
                <w:szCs w:val="20"/>
              </w:rPr>
              <w:t>Количество приобретенной коммунальной техники</w:t>
            </w:r>
            <w:r w:rsidRPr="00F34CDA">
              <w:rPr>
                <w:rFonts w:eastAsia="Arial Unicode MS" w:cs="Times New Roman"/>
                <w:color w:val="000000"/>
                <w:sz w:val="20"/>
                <w:szCs w:val="20"/>
              </w:rPr>
              <w:t xml:space="preserve"> городского округа Домодедово в отчетном году</w:t>
            </w:r>
          </w:p>
        </w:tc>
        <w:tc>
          <w:tcPr>
            <w:tcW w:w="2297" w:type="dxa"/>
            <w:shd w:val="clear" w:color="auto" w:fill="auto"/>
          </w:tcPr>
          <w:p w14:paraId="254CBA0F"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51E2B2FD" w14:textId="77777777" w:rsidTr="00C949C2">
        <w:trPr>
          <w:trHeight w:val="870"/>
        </w:trPr>
        <w:tc>
          <w:tcPr>
            <w:tcW w:w="739" w:type="dxa"/>
            <w:shd w:val="clear" w:color="auto" w:fill="auto"/>
          </w:tcPr>
          <w:p w14:paraId="5CAA034D" w14:textId="77777777" w:rsidR="00F34CDA" w:rsidRPr="00F34CDA" w:rsidRDefault="00F34CDA" w:rsidP="00C949C2">
            <w:pPr>
              <w:jc w:val="center"/>
              <w:rPr>
                <w:rFonts w:cs="Times New Roman"/>
                <w:sz w:val="20"/>
                <w:szCs w:val="20"/>
              </w:rPr>
            </w:pPr>
            <w:r w:rsidRPr="00F34CDA">
              <w:rPr>
                <w:rFonts w:cs="Times New Roman"/>
                <w:sz w:val="20"/>
                <w:szCs w:val="20"/>
              </w:rPr>
              <w:t>10</w:t>
            </w:r>
          </w:p>
        </w:tc>
        <w:tc>
          <w:tcPr>
            <w:tcW w:w="2948" w:type="dxa"/>
            <w:shd w:val="clear" w:color="auto" w:fill="auto"/>
          </w:tcPr>
          <w:p w14:paraId="014D927E" w14:textId="77777777" w:rsidR="00F34CDA" w:rsidRPr="00F34CDA" w:rsidRDefault="00F34CDA" w:rsidP="00C949C2">
            <w:pPr>
              <w:rPr>
                <w:rFonts w:cs="Times New Roman"/>
                <w:sz w:val="20"/>
                <w:szCs w:val="20"/>
              </w:rPr>
            </w:pPr>
            <w:r w:rsidRPr="00F34CDA">
              <w:rPr>
                <w:rFonts w:cs="Times New Roman"/>
                <w:sz w:val="20"/>
                <w:szCs w:val="20"/>
              </w:rPr>
              <w:t>Выполнено устройство и модернизация контейнерных площадок</w:t>
            </w:r>
          </w:p>
        </w:tc>
        <w:tc>
          <w:tcPr>
            <w:tcW w:w="1162" w:type="dxa"/>
            <w:shd w:val="clear" w:color="auto" w:fill="auto"/>
            <w:vAlign w:val="center"/>
          </w:tcPr>
          <w:p w14:paraId="17F9A65F" w14:textId="77777777" w:rsidR="00F34CDA" w:rsidRPr="00F34CDA" w:rsidRDefault="00F34CDA" w:rsidP="00C949C2">
            <w:pPr>
              <w:jc w:val="center"/>
              <w:rPr>
                <w:rFonts w:cs="Times New Roman"/>
                <w:sz w:val="20"/>
                <w:szCs w:val="20"/>
              </w:rPr>
            </w:pPr>
            <w:proofErr w:type="spellStart"/>
            <w:r w:rsidRPr="00F34CDA">
              <w:rPr>
                <w:rFonts w:cs="Times New Roman"/>
                <w:sz w:val="20"/>
                <w:szCs w:val="20"/>
              </w:rPr>
              <w:t>Кв.м</w:t>
            </w:r>
            <w:proofErr w:type="spellEnd"/>
            <w:r w:rsidRPr="00F34CDA">
              <w:rPr>
                <w:rFonts w:cs="Times New Roman"/>
                <w:sz w:val="20"/>
                <w:szCs w:val="20"/>
              </w:rPr>
              <w:t>.</w:t>
            </w:r>
          </w:p>
        </w:tc>
        <w:tc>
          <w:tcPr>
            <w:tcW w:w="5669" w:type="dxa"/>
            <w:shd w:val="clear" w:color="auto" w:fill="auto"/>
          </w:tcPr>
          <w:p w14:paraId="5F703FA3" w14:textId="77777777" w:rsidR="00F34CDA" w:rsidRPr="00F34CDA" w:rsidRDefault="00F34CDA" w:rsidP="00C949C2">
            <w:pPr>
              <w:spacing w:line="20" w:lineRule="atLeast"/>
              <w:ind w:left="-108" w:right="-107"/>
              <w:contextualSpacing/>
              <w:rPr>
                <w:rFonts w:eastAsiaTheme="minorEastAsia" w:cs="Times New Roman"/>
                <w:sz w:val="20"/>
                <w:szCs w:val="20"/>
                <w:lang w:eastAsia="ru-RU"/>
              </w:rPr>
            </w:pPr>
            <w:r w:rsidRPr="00F34CDA">
              <w:rPr>
                <w:rFonts w:eastAsiaTheme="minorEastAsia" w:cs="Times New Roman"/>
                <w:sz w:val="20"/>
                <w:szCs w:val="20"/>
                <w:lang w:eastAsia="ru-RU"/>
              </w:rPr>
              <w:t>Значение показателя определяется площадью обустроенных и модернизированных контейнерных площадок в городском округе Домодедово в отчетном году</w:t>
            </w:r>
          </w:p>
        </w:tc>
        <w:tc>
          <w:tcPr>
            <w:tcW w:w="2693" w:type="dxa"/>
          </w:tcPr>
          <w:p w14:paraId="70462D3C"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cs="Times New Roman"/>
                <w:color w:val="000000" w:themeColor="text1"/>
                <w:sz w:val="20"/>
                <w:szCs w:val="20"/>
              </w:rPr>
              <w:t xml:space="preserve">Реестр обустроенных и модернизированных контейнерных площадок </w:t>
            </w:r>
            <w:r w:rsidRPr="00F34CDA">
              <w:rPr>
                <w:rFonts w:eastAsia="Arial Unicode MS" w:cs="Times New Roman"/>
                <w:color w:val="000000"/>
                <w:sz w:val="20"/>
                <w:szCs w:val="20"/>
              </w:rPr>
              <w:t>городского округа Домодедово в отчетном году</w:t>
            </w:r>
          </w:p>
        </w:tc>
        <w:tc>
          <w:tcPr>
            <w:tcW w:w="2297" w:type="dxa"/>
            <w:shd w:val="clear" w:color="auto" w:fill="auto"/>
          </w:tcPr>
          <w:p w14:paraId="4F425739"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p>
          <w:p w14:paraId="3F190C6F" w14:textId="77777777" w:rsidR="00F34CDA" w:rsidRPr="00F34CDA" w:rsidRDefault="00F34CDA" w:rsidP="00C949C2">
            <w:pPr>
              <w:rPr>
                <w:rFonts w:eastAsia="Arial Unicode MS" w:cs="Times New Roman"/>
                <w:sz w:val="20"/>
                <w:szCs w:val="20"/>
              </w:rPr>
            </w:pPr>
          </w:p>
          <w:p w14:paraId="3EFED94A" w14:textId="77777777" w:rsidR="00F34CDA" w:rsidRPr="00F34CDA" w:rsidRDefault="00F34CDA" w:rsidP="00C949C2">
            <w:pPr>
              <w:ind w:firstLine="708"/>
              <w:rPr>
                <w:rFonts w:eastAsia="Arial Unicode MS" w:cs="Times New Roman"/>
                <w:sz w:val="20"/>
                <w:szCs w:val="20"/>
              </w:rPr>
            </w:pPr>
            <w:r w:rsidRPr="00F34CDA">
              <w:rPr>
                <w:rFonts w:eastAsia="Arial Unicode MS" w:cs="Times New Roman"/>
                <w:color w:val="000000"/>
                <w:sz w:val="20"/>
                <w:szCs w:val="20"/>
              </w:rPr>
              <w:t>Ежегодная</w:t>
            </w:r>
          </w:p>
        </w:tc>
      </w:tr>
      <w:tr w:rsidR="00F34CDA" w:rsidRPr="00F34CDA" w14:paraId="38A7DD08" w14:textId="77777777" w:rsidTr="00C949C2">
        <w:trPr>
          <w:trHeight w:val="870"/>
        </w:trPr>
        <w:tc>
          <w:tcPr>
            <w:tcW w:w="739" w:type="dxa"/>
            <w:shd w:val="clear" w:color="auto" w:fill="auto"/>
          </w:tcPr>
          <w:p w14:paraId="00F97C37" w14:textId="77777777" w:rsidR="00F34CDA" w:rsidRPr="00F34CDA" w:rsidRDefault="00F34CDA" w:rsidP="00C949C2">
            <w:pPr>
              <w:jc w:val="center"/>
              <w:rPr>
                <w:rFonts w:cs="Times New Roman"/>
                <w:sz w:val="20"/>
                <w:szCs w:val="20"/>
              </w:rPr>
            </w:pPr>
            <w:r w:rsidRPr="00F34CDA">
              <w:rPr>
                <w:rFonts w:cs="Times New Roman"/>
                <w:sz w:val="20"/>
                <w:szCs w:val="20"/>
              </w:rPr>
              <w:t>11</w:t>
            </w:r>
          </w:p>
        </w:tc>
        <w:tc>
          <w:tcPr>
            <w:tcW w:w="2948" w:type="dxa"/>
            <w:shd w:val="clear" w:color="auto" w:fill="auto"/>
          </w:tcPr>
          <w:p w14:paraId="7E1EF775" w14:textId="77777777" w:rsidR="00F34CDA" w:rsidRPr="00F34CDA" w:rsidRDefault="00F34CDA" w:rsidP="00C949C2">
            <w:pPr>
              <w:rPr>
                <w:rFonts w:eastAsia="Arial Unicode MS" w:cs="Times New Roman"/>
                <w:sz w:val="20"/>
                <w:szCs w:val="20"/>
              </w:rPr>
            </w:pPr>
            <w:r w:rsidRPr="00F34CDA">
              <w:rPr>
                <w:rFonts w:cs="Times New Roman"/>
                <w:sz w:val="20"/>
                <w:szCs w:val="20"/>
              </w:rPr>
              <w:t>Благоустроены дворовые территории за счет средств городского округа Домодедово Московской области</w:t>
            </w:r>
          </w:p>
        </w:tc>
        <w:tc>
          <w:tcPr>
            <w:tcW w:w="1162" w:type="dxa"/>
            <w:shd w:val="clear" w:color="auto" w:fill="auto"/>
            <w:vAlign w:val="center"/>
          </w:tcPr>
          <w:p w14:paraId="05084D87" w14:textId="77777777" w:rsidR="00F34CDA" w:rsidRPr="00F34CDA" w:rsidRDefault="00F34CDA" w:rsidP="00C949C2">
            <w:pPr>
              <w:jc w:val="center"/>
              <w:rPr>
                <w:rFonts w:cs="Times New Roman"/>
                <w:sz w:val="20"/>
                <w:szCs w:val="20"/>
              </w:rPr>
            </w:pPr>
            <w:r w:rsidRPr="00F34CDA">
              <w:rPr>
                <w:rFonts w:cs="Times New Roman"/>
                <w:sz w:val="20"/>
                <w:szCs w:val="20"/>
              </w:rPr>
              <w:t>Единица</w:t>
            </w:r>
          </w:p>
        </w:tc>
        <w:tc>
          <w:tcPr>
            <w:tcW w:w="5669" w:type="dxa"/>
            <w:shd w:val="clear" w:color="auto" w:fill="auto"/>
          </w:tcPr>
          <w:p w14:paraId="2A92E306"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Theme="minorEastAsia" w:cs="Times New Roman"/>
                <w:sz w:val="20"/>
                <w:szCs w:val="20"/>
                <w:lang w:eastAsia="ru-RU"/>
              </w:rPr>
              <w:t xml:space="preserve">Значение показателя определяется фактическим количеством благоустроенных дворовых территорий </w:t>
            </w:r>
            <w:r w:rsidRPr="00F34CDA">
              <w:rPr>
                <w:rFonts w:cs="Times New Roman"/>
                <w:color w:val="000000" w:themeColor="text1"/>
                <w:sz w:val="20"/>
                <w:szCs w:val="20"/>
              </w:rPr>
              <w:t xml:space="preserve">за счет средств </w:t>
            </w:r>
            <w:r w:rsidRPr="00F34CDA">
              <w:rPr>
                <w:rFonts w:eastAsia="Arial Unicode MS" w:cs="Times New Roman"/>
                <w:color w:val="000000"/>
                <w:sz w:val="20"/>
                <w:szCs w:val="20"/>
              </w:rPr>
              <w:t>городского округа Домодедово</w:t>
            </w:r>
            <w:r w:rsidRPr="00F34CDA">
              <w:rPr>
                <w:rFonts w:eastAsiaTheme="minorEastAsia" w:cs="Times New Roman"/>
                <w:sz w:val="20"/>
                <w:szCs w:val="20"/>
                <w:lang w:eastAsia="ru-RU"/>
              </w:rPr>
              <w:t xml:space="preserve"> </w:t>
            </w:r>
          </w:p>
        </w:tc>
        <w:tc>
          <w:tcPr>
            <w:tcW w:w="2693" w:type="dxa"/>
          </w:tcPr>
          <w:p w14:paraId="601C32BF"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Arial Unicode MS" w:cs="Times New Roman"/>
                <w:color w:val="000000"/>
                <w:sz w:val="20"/>
                <w:szCs w:val="20"/>
              </w:rPr>
              <w:t xml:space="preserve">Перечень благоустроенных </w:t>
            </w:r>
            <w:r w:rsidRPr="00F34CDA">
              <w:rPr>
                <w:rFonts w:cs="Times New Roman"/>
                <w:color w:val="000000" w:themeColor="text1"/>
                <w:sz w:val="20"/>
                <w:szCs w:val="20"/>
              </w:rPr>
              <w:t>дворовых территории</w:t>
            </w:r>
            <w:r w:rsidRPr="00F34CDA">
              <w:rPr>
                <w:rFonts w:eastAsia="Arial Unicode MS" w:cs="Times New Roman"/>
                <w:color w:val="000000"/>
                <w:sz w:val="20"/>
                <w:szCs w:val="20"/>
              </w:rPr>
              <w:t xml:space="preserve"> городского округа Домодедово в отчетном году</w:t>
            </w:r>
          </w:p>
        </w:tc>
        <w:tc>
          <w:tcPr>
            <w:tcW w:w="2297" w:type="dxa"/>
            <w:shd w:val="clear" w:color="auto" w:fill="auto"/>
          </w:tcPr>
          <w:p w14:paraId="34D3B3DC"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1E96A305" w14:textId="77777777" w:rsidTr="00C949C2">
        <w:trPr>
          <w:trHeight w:val="841"/>
        </w:trPr>
        <w:tc>
          <w:tcPr>
            <w:tcW w:w="739" w:type="dxa"/>
            <w:shd w:val="clear" w:color="auto" w:fill="auto"/>
          </w:tcPr>
          <w:p w14:paraId="1AD75B25" w14:textId="77777777" w:rsidR="00F34CDA" w:rsidRPr="00F34CDA" w:rsidRDefault="00F34CDA" w:rsidP="00C949C2">
            <w:pPr>
              <w:jc w:val="center"/>
              <w:rPr>
                <w:rFonts w:cs="Times New Roman"/>
                <w:sz w:val="20"/>
                <w:szCs w:val="20"/>
              </w:rPr>
            </w:pPr>
            <w:r w:rsidRPr="00F34CDA">
              <w:rPr>
                <w:rFonts w:cs="Times New Roman"/>
                <w:sz w:val="20"/>
                <w:szCs w:val="20"/>
              </w:rPr>
              <w:t>12</w:t>
            </w:r>
          </w:p>
        </w:tc>
        <w:tc>
          <w:tcPr>
            <w:tcW w:w="2948" w:type="dxa"/>
            <w:shd w:val="clear" w:color="auto" w:fill="auto"/>
          </w:tcPr>
          <w:p w14:paraId="52D048BF" w14:textId="77777777" w:rsidR="00F34CDA" w:rsidRPr="00F34CDA" w:rsidRDefault="00F34CDA" w:rsidP="00C949C2">
            <w:pPr>
              <w:spacing w:line="20" w:lineRule="atLeast"/>
              <w:ind w:left="-108" w:right="-108"/>
              <w:contextualSpacing/>
              <w:rPr>
                <w:rFonts w:eastAsia="Arial Unicode MS" w:cs="Times New Roman"/>
                <w:color w:val="000000"/>
                <w:sz w:val="20"/>
                <w:szCs w:val="20"/>
              </w:rPr>
            </w:pPr>
            <w:r w:rsidRPr="00F34CDA">
              <w:rPr>
                <w:rFonts w:cs="Times New Roman"/>
                <w:sz w:val="20"/>
                <w:szCs w:val="20"/>
              </w:rPr>
              <w:t>Созданы и отремонтированы пешеходные коммуникации за счет средств городского округа Домодедово Московской области</w:t>
            </w:r>
          </w:p>
        </w:tc>
        <w:tc>
          <w:tcPr>
            <w:tcW w:w="1162" w:type="dxa"/>
            <w:shd w:val="clear" w:color="auto" w:fill="auto"/>
            <w:vAlign w:val="center"/>
          </w:tcPr>
          <w:p w14:paraId="1B83AAF8" w14:textId="77777777" w:rsidR="00F34CDA" w:rsidRPr="00F34CDA" w:rsidRDefault="00F34CDA" w:rsidP="00C949C2">
            <w:pPr>
              <w:jc w:val="center"/>
              <w:rPr>
                <w:rFonts w:cs="Times New Roman"/>
                <w:sz w:val="20"/>
                <w:szCs w:val="20"/>
              </w:rPr>
            </w:pPr>
            <w:r w:rsidRPr="00F34CDA">
              <w:rPr>
                <w:rFonts w:cs="Times New Roman"/>
                <w:sz w:val="20"/>
                <w:szCs w:val="20"/>
              </w:rPr>
              <w:t>Единица</w:t>
            </w:r>
          </w:p>
        </w:tc>
        <w:tc>
          <w:tcPr>
            <w:tcW w:w="5669" w:type="dxa"/>
            <w:shd w:val="clear" w:color="auto" w:fill="auto"/>
          </w:tcPr>
          <w:p w14:paraId="2542AEEF"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Theme="minorEastAsia" w:cs="Times New Roman"/>
                <w:sz w:val="20"/>
                <w:szCs w:val="20"/>
                <w:lang w:eastAsia="ru-RU"/>
              </w:rPr>
              <w:t xml:space="preserve">Значение показателя определяется как общее количество </w:t>
            </w:r>
            <w:r w:rsidRPr="00F34CDA">
              <w:rPr>
                <w:rFonts w:cs="Times New Roman"/>
                <w:color w:val="000000" w:themeColor="text1"/>
                <w:sz w:val="20"/>
                <w:szCs w:val="20"/>
              </w:rPr>
              <w:t>созданных и отремонтированных пешеходных коммуникаций</w:t>
            </w:r>
            <w:r w:rsidRPr="00F34CDA">
              <w:rPr>
                <w:rFonts w:eastAsiaTheme="minorEastAsia" w:cs="Times New Roman"/>
                <w:sz w:val="20"/>
                <w:szCs w:val="20"/>
                <w:lang w:eastAsia="ru-RU"/>
              </w:rPr>
              <w:t xml:space="preserve"> на территории </w:t>
            </w:r>
            <w:r w:rsidRPr="00F34CDA">
              <w:rPr>
                <w:rFonts w:eastAsia="Arial Unicode MS" w:cs="Times New Roman"/>
                <w:color w:val="000000"/>
                <w:sz w:val="20"/>
                <w:szCs w:val="20"/>
              </w:rPr>
              <w:t xml:space="preserve">городского округа Домодедово </w:t>
            </w:r>
            <w:r w:rsidRPr="00F34CDA">
              <w:rPr>
                <w:rFonts w:cs="Times New Roman"/>
                <w:color w:val="000000" w:themeColor="text1"/>
                <w:sz w:val="20"/>
                <w:szCs w:val="20"/>
              </w:rPr>
              <w:t xml:space="preserve">за счет средств </w:t>
            </w:r>
            <w:r w:rsidRPr="00F34CDA">
              <w:rPr>
                <w:rFonts w:eastAsia="Arial Unicode MS" w:cs="Times New Roman"/>
                <w:color w:val="000000"/>
                <w:sz w:val="20"/>
                <w:szCs w:val="20"/>
              </w:rPr>
              <w:t>городского округа Домодедово</w:t>
            </w:r>
          </w:p>
        </w:tc>
        <w:tc>
          <w:tcPr>
            <w:tcW w:w="2693" w:type="dxa"/>
          </w:tcPr>
          <w:p w14:paraId="0A3DBB34"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Arial Unicode MS" w:cs="Times New Roman"/>
                <w:color w:val="000000"/>
                <w:sz w:val="20"/>
                <w:szCs w:val="20"/>
              </w:rPr>
              <w:t xml:space="preserve">Перечень </w:t>
            </w:r>
            <w:r w:rsidRPr="00F34CDA">
              <w:rPr>
                <w:rFonts w:cs="Times New Roman"/>
                <w:color w:val="000000" w:themeColor="text1"/>
                <w:sz w:val="20"/>
                <w:szCs w:val="20"/>
              </w:rPr>
              <w:t>созданных и отремонтированных</w:t>
            </w:r>
            <w:r w:rsidRPr="00F34CDA">
              <w:rPr>
                <w:rFonts w:eastAsia="Arial Unicode MS" w:cs="Times New Roman"/>
                <w:color w:val="000000"/>
                <w:sz w:val="20"/>
                <w:szCs w:val="20"/>
              </w:rPr>
              <w:t xml:space="preserve"> </w:t>
            </w:r>
            <w:r w:rsidRPr="00F34CDA">
              <w:rPr>
                <w:rFonts w:cs="Times New Roman"/>
                <w:color w:val="000000" w:themeColor="text1"/>
                <w:sz w:val="20"/>
                <w:szCs w:val="20"/>
              </w:rPr>
              <w:t>пешеходных коммуникаций</w:t>
            </w:r>
            <w:r w:rsidRPr="00F34CDA">
              <w:rPr>
                <w:rFonts w:eastAsia="Arial Unicode MS" w:cs="Times New Roman"/>
                <w:color w:val="000000"/>
                <w:sz w:val="20"/>
                <w:szCs w:val="20"/>
              </w:rPr>
              <w:t xml:space="preserve"> на территории городского округа Домодедово в отчетном году</w:t>
            </w:r>
          </w:p>
        </w:tc>
        <w:tc>
          <w:tcPr>
            <w:tcW w:w="2297" w:type="dxa"/>
            <w:shd w:val="clear" w:color="auto" w:fill="auto"/>
          </w:tcPr>
          <w:p w14:paraId="7D436C17"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5E515A22" w14:textId="77777777" w:rsidTr="00C949C2">
        <w:trPr>
          <w:trHeight w:val="1002"/>
        </w:trPr>
        <w:tc>
          <w:tcPr>
            <w:tcW w:w="739" w:type="dxa"/>
            <w:shd w:val="clear" w:color="auto" w:fill="auto"/>
          </w:tcPr>
          <w:p w14:paraId="13F8C99D" w14:textId="77777777" w:rsidR="00F34CDA" w:rsidRPr="00F34CDA" w:rsidRDefault="00F34CDA" w:rsidP="00C949C2">
            <w:pPr>
              <w:jc w:val="center"/>
              <w:rPr>
                <w:rFonts w:cs="Times New Roman"/>
                <w:sz w:val="20"/>
                <w:szCs w:val="20"/>
              </w:rPr>
            </w:pPr>
            <w:r w:rsidRPr="00F34CDA">
              <w:rPr>
                <w:rFonts w:cs="Times New Roman"/>
                <w:sz w:val="20"/>
                <w:szCs w:val="20"/>
              </w:rPr>
              <w:lastRenderedPageBreak/>
              <w:t>13</w:t>
            </w:r>
          </w:p>
        </w:tc>
        <w:tc>
          <w:tcPr>
            <w:tcW w:w="2948" w:type="dxa"/>
            <w:shd w:val="clear" w:color="auto" w:fill="auto"/>
          </w:tcPr>
          <w:p w14:paraId="4A5B5ADC" w14:textId="77777777" w:rsidR="00F34CDA" w:rsidRPr="00F34CDA" w:rsidRDefault="00F34CDA" w:rsidP="00C949C2">
            <w:pPr>
              <w:spacing w:line="20" w:lineRule="atLeast"/>
              <w:ind w:left="-108" w:right="-108"/>
              <w:contextualSpacing/>
              <w:rPr>
                <w:rFonts w:eastAsia="Arial Unicode MS" w:cs="Times New Roman"/>
                <w:color w:val="000000"/>
                <w:sz w:val="20"/>
                <w:szCs w:val="20"/>
              </w:rPr>
            </w:pPr>
            <w:r w:rsidRPr="00F34CDA">
              <w:rPr>
                <w:rFonts w:cs="Times New Roman"/>
                <w:color w:val="000000" w:themeColor="text1"/>
                <w:sz w:val="20"/>
                <w:szCs w:val="20"/>
              </w:rPr>
              <w:t>Обеспечено содержание дворовых территорий и общественных пространств за счет бюджетных средств</w:t>
            </w:r>
          </w:p>
        </w:tc>
        <w:tc>
          <w:tcPr>
            <w:tcW w:w="1162" w:type="dxa"/>
            <w:shd w:val="clear" w:color="auto" w:fill="auto"/>
          </w:tcPr>
          <w:p w14:paraId="2DB9870F" w14:textId="77777777" w:rsidR="00F34CDA" w:rsidRPr="00F34CDA" w:rsidRDefault="00F34CDA" w:rsidP="00C949C2">
            <w:pPr>
              <w:jc w:val="center"/>
              <w:rPr>
                <w:rFonts w:cs="Times New Roman"/>
                <w:sz w:val="20"/>
                <w:szCs w:val="20"/>
              </w:rPr>
            </w:pPr>
            <w:r w:rsidRPr="00F34CDA">
              <w:rPr>
                <w:rFonts w:cs="Times New Roman"/>
                <w:sz w:val="20"/>
                <w:szCs w:val="20"/>
              </w:rPr>
              <w:t xml:space="preserve">Тыс. </w:t>
            </w:r>
            <w:proofErr w:type="spellStart"/>
            <w:r w:rsidRPr="00F34CDA">
              <w:rPr>
                <w:rFonts w:cs="Times New Roman"/>
                <w:sz w:val="20"/>
                <w:szCs w:val="20"/>
              </w:rPr>
              <w:t>кв.м</w:t>
            </w:r>
            <w:proofErr w:type="spellEnd"/>
            <w:r w:rsidRPr="00F34CDA">
              <w:rPr>
                <w:rFonts w:cs="Times New Roman"/>
                <w:sz w:val="20"/>
                <w:szCs w:val="20"/>
              </w:rPr>
              <w:t>.</w:t>
            </w:r>
          </w:p>
        </w:tc>
        <w:tc>
          <w:tcPr>
            <w:tcW w:w="5669" w:type="dxa"/>
            <w:shd w:val="clear" w:color="auto" w:fill="auto"/>
          </w:tcPr>
          <w:p w14:paraId="417F1BD2"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Theme="minorEastAsia" w:cs="Times New Roman"/>
                <w:color w:val="000000" w:themeColor="text1"/>
                <w:sz w:val="20"/>
                <w:szCs w:val="20"/>
                <w:lang w:eastAsia="ru-RU"/>
              </w:rPr>
              <w:t xml:space="preserve">Значение определяется как сумма площадей дворовых территорий и общественных пространств, находящихся на содержании </w:t>
            </w:r>
            <w:r w:rsidRPr="00F34CDA">
              <w:rPr>
                <w:rFonts w:eastAsia="Arial Unicode MS" w:cs="Times New Roman"/>
                <w:color w:val="000000"/>
                <w:sz w:val="20"/>
                <w:szCs w:val="20"/>
              </w:rPr>
              <w:t>городского округа Домодедово</w:t>
            </w:r>
            <w:r w:rsidRPr="00F34CDA">
              <w:rPr>
                <w:rFonts w:eastAsiaTheme="minorEastAsia" w:cs="Times New Roman"/>
                <w:color w:val="000000" w:themeColor="text1"/>
                <w:sz w:val="20"/>
                <w:szCs w:val="20"/>
                <w:lang w:eastAsia="ru-RU"/>
              </w:rPr>
              <w:t>, в соответствии с титульными списками объектов благоустройства городского округа Домодедово</w:t>
            </w:r>
          </w:p>
        </w:tc>
        <w:tc>
          <w:tcPr>
            <w:tcW w:w="2693" w:type="dxa"/>
          </w:tcPr>
          <w:p w14:paraId="445B2B2B" w14:textId="77777777" w:rsidR="00F34CDA" w:rsidRPr="00F34CDA" w:rsidRDefault="00F34CDA" w:rsidP="00C949C2">
            <w:pPr>
              <w:spacing w:line="20" w:lineRule="atLeast"/>
              <w:ind w:left="-108" w:right="-107"/>
              <w:contextualSpacing/>
              <w:rPr>
                <w:rFonts w:eastAsia="Arial Unicode MS" w:cs="Times New Roman"/>
                <w:color w:val="000000"/>
                <w:sz w:val="20"/>
                <w:szCs w:val="20"/>
              </w:rPr>
            </w:pPr>
            <w:r w:rsidRPr="00F34CDA">
              <w:rPr>
                <w:rFonts w:eastAsia="Arial Unicode MS" w:cs="Times New Roman"/>
                <w:color w:val="000000"/>
                <w:sz w:val="20"/>
                <w:szCs w:val="20"/>
              </w:rPr>
              <w:t>Схема уборки территории</w:t>
            </w:r>
          </w:p>
        </w:tc>
        <w:tc>
          <w:tcPr>
            <w:tcW w:w="2297" w:type="dxa"/>
            <w:shd w:val="clear" w:color="auto" w:fill="auto"/>
          </w:tcPr>
          <w:p w14:paraId="7893EF54"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15D79064" w14:textId="77777777" w:rsidTr="00C949C2">
        <w:trPr>
          <w:trHeight w:val="1002"/>
        </w:trPr>
        <w:tc>
          <w:tcPr>
            <w:tcW w:w="739" w:type="dxa"/>
            <w:shd w:val="clear" w:color="auto" w:fill="auto"/>
          </w:tcPr>
          <w:p w14:paraId="71FBA47D" w14:textId="77777777" w:rsidR="00F34CDA" w:rsidRPr="00F34CDA" w:rsidRDefault="00F34CDA" w:rsidP="00C949C2">
            <w:pPr>
              <w:jc w:val="center"/>
              <w:rPr>
                <w:rFonts w:cs="Times New Roman"/>
                <w:sz w:val="20"/>
                <w:szCs w:val="20"/>
              </w:rPr>
            </w:pPr>
            <w:r w:rsidRPr="00F34CDA">
              <w:rPr>
                <w:rFonts w:cs="Times New Roman"/>
                <w:sz w:val="20"/>
                <w:szCs w:val="20"/>
              </w:rPr>
              <w:t>14</w:t>
            </w:r>
          </w:p>
        </w:tc>
        <w:tc>
          <w:tcPr>
            <w:tcW w:w="2948" w:type="dxa"/>
            <w:shd w:val="clear" w:color="auto" w:fill="auto"/>
          </w:tcPr>
          <w:p w14:paraId="5DE23CF4" w14:textId="77777777" w:rsidR="00F34CDA" w:rsidRPr="00F34CDA" w:rsidRDefault="00F34CDA" w:rsidP="00C949C2">
            <w:pPr>
              <w:spacing w:line="20" w:lineRule="atLeast"/>
              <w:ind w:left="-108" w:right="-108"/>
              <w:contextualSpacing/>
              <w:rPr>
                <w:rFonts w:cs="Times New Roman"/>
                <w:sz w:val="20"/>
                <w:szCs w:val="20"/>
              </w:rPr>
            </w:pPr>
            <w:r w:rsidRPr="00F34CDA">
              <w:rPr>
                <w:rFonts w:cs="Times New Roman"/>
                <w:sz w:val="20"/>
                <w:szCs w:val="20"/>
              </w:rPr>
              <w:t>Замена и модернизация  детских игровых площадок</w:t>
            </w:r>
          </w:p>
        </w:tc>
        <w:tc>
          <w:tcPr>
            <w:tcW w:w="1162" w:type="dxa"/>
            <w:shd w:val="clear" w:color="auto" w:fill="auto"/>
          </w:tcPr>
          <w:p w14:paraId="4B494C0F" w14:textId="77777777" w:rsidR="00F34CDA" w:rsidRPr="00F34CDA" w:rsidRDefault="00F34CDA" w:rsidP="00C949C2">
            <w:pPr>
              <w:jc w:val="center"/>
              <w:rPr>
                <w:rFonts w:cs="Times New Roman"/>
                <w:sz w:val="20"/>
                <w:szCs w:val="20"/>
              </w:rPr>
            </w:pPr>
            <w:r w:rsidRPr="00F34CDA">
              <w:rPr>
                <w:rFonts w:cs="Times New Roman"/>
                <w:sz w:val="20"/>
                <w:szCs w:val="20"/>
              </w:rPr>
              <w:t>Единица</w:t>
            </w:r>
          </w:p>
        </w:tc>
        <w:tc>
          <w:tcPr>
            <w:tcW w:w="5669" w:type="dxa"/>
            <w:shd w:val="clear" w:color="auto" w:fill="auto"/>
          </w:tcPr>
          <w:p w14:paraId="55F7B91C" w14:textId="77777777" w:rsidR="00F34CDA" w:rsidRPr="00F34CDA" w:rsidRDefault="00F34CDA" w:rsidP="00C949C2">
            <w:pPr>
              <w:spacing w:line="20" w:lineRule="atLeast"/>
              <w:ind w:left="-108" w:right="-107"/>
              <w:contextualSpacing/>
              <w:rPr>
                <w:rFonts w:cs="Times New Roman"/>
                <w:sz w:val="20"/>
                <w:szCs w:val="20"/>
              </w:rPr>
            </w:pPr>
            <w:r w:rsidRPr="00F34CDA">
              <w:rPr>
                <w:rFonts w:eastAsiaTheme="minorEastAsia" w:cs="Times New Roman"/>
                <w:sz w:val="20"/>
                <w:szCs w:val="20"/>
                <w:lang w:eastAsia="ru-RU"/>
              </w:rPr>
              <w:t>Значение показателя определяется по фактическому значению замененных и модернизированных детских игровых площадок на территории городского округа Домодедово в отчетном году</w:t>
            </w:r>
          </w:p>
        </w:tc>
        <w:tc>
          <w:tcPr>
            <w:tcW w:w="2693" w:type="dxa"/>
          </w:tcPr>
          <w:p w14:paraId="1B8542F6" w14:textId="77777777" w:rsidR="00F34CDA" w:rsidRPr="00F34CDA" w:rsidRDefault="00F34CDA" w:rsidP="00C949C2">
            <w:pPr>
              <w:spacing w:line="20" w:lineRule="atLeast"/>
              <w:ind w:left="-108" w:right="-107"/>
              <w:contextualSpacing/>
              <w:rPr>
                <w:rFonts w:cs="Times New Roman"/>
                <w:sz w:val="20"/>
                <w:szCs w:val="20"/>
              </w:rPr>
            </w:pPr>
            <w:r w:rsidRPr="00F34CDA">
              <w:rPr>
                <w:rFonts w:eastAsia="Arial Unicode MS" w:cs="Times New Roman"/>
                <w:color w:val="000000"/>
                <w:sz w:val="20"/>
                <w:szCs w:val="20"/>
              </w:rPr>
              <w:t>Реестр детских игровых площадок на территории городского округа Домодедово, замененных в отчетном году</w:t>
            </w:r>
          </w:p>
        </w:tc>
        <w:tc>
          <w:tcPr>
            <w:tcW w:w="2297" w:type="dxa"/>
            <w:shd w:val="clear" w:color="auto" w:fill="auto"/>
          </w:tcPr>
          <w:p w14:paraId="62669E66"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1B346BB8" w14:textId="77777777" w:rsidTr="00C949C2">
        <w:trPr>
          <w:trHeight w:val="1002"/>
        </w:trPr>
        <w:tc>
          <w:tcPr>
            <w:tcW w:w="739" w:type="dxa"/>
            <w:shd w:val="clear" w:color="auto" w:fill="auto"/>
          </w:tcPr>
          <w:p w14:paraId="09CAFDEF" w14:textId="77777777" w:rsidR="00F34CDA" w:rsidRPr="00F34CDA" w:rsidRDefault="00F34CDA" w:rsidP="00C949C2">
            <w:pPr>
              <w:jc w:val="center"/>
              <w:rPr>
                <w:rFonts w:cs="Times New Roman"/>
                <w:sz w:val="20"/>
                <w:szCs w:val="20"/>
              </w:rPr>
            </w:pPr>
            <w:r w:rsidRPr="00F34CDA">
              <w:rPr>
                <w:rFonts w:cs="Times New Roman"/>
                <w:sz w:val="20"/>
                <w:szCs w:val="20"/>
              </w:rPr>
              <w:t>15</w:t>
            </w:r>
          </w:p>
        </w:tc>
        <w:tc>
          <w:tcPr>
            <w:tcW w:w="2948" w:type="dxa"/>
            <w:shd w:val="clear" w:color="auto" w:fill="auto"/>
          </w:tcPr>
          <w:p w14:paraId="4B7C76BE" w14:textId="77777777" w:rsidR="00F34CDA" w:rsidRPr="00F34CDA" w:rsidRDefault="00F34CDA" w:rsidP="00C949C2">
            <w:pPr>
              <w:spacing w:line="20" w:lineRule="atLeast"/>
              <w:ind w:left="-108" w:right="-108"/>
              <w:contextualSpacing/>
              <w:rPr>
                <w:rFonts w:cs="Times New Roman"/>
                <w:sz w:val="20"/>
                <w:szCs w:val="20"/>
              </w:rPr>
            </w:pPr>
            <w:r w:rsidRPr="00F34CDA">
              <w:rPr>
                <w:rFonts w:cs="Times New Roman"/>
                <w:color w:val="000000" w:themeColor="text1"/>
                <w:sz w:val="20"/>
                <w:szCs w:val="20"/>
              </w:rPr>
              <w:t>Замена неэнергоэффективных светильников наружного освещения</w:t>
            </w:r>
          </w:p>
        </w:tc>
        <w:tc>
          <w:tcPr>
            <w:tcW w:w="1162" w:type="dxa"/>
            <w:shd w:val="clear" w:color="auto" w:fill="auto"/>
          </w:tcPr>
          <w:p w14:paraId="00E4245B" w14:textId="77777777" w:rsidR="00F34CDA" w:rsidRPr="00F34CDA" w:rsidRDefault="00F34CDA" w:rsidP="00C949C2">
            <w:pPr>
              <w:jc w:val="center"/>
              <w:rPr>
                <w:rFonts w:cs="Times New Roman"/>
                <w:sz w:val="20"/>
                <w:szCs w:val="20"/>
              </w:rPr>
            </w:pPr>
            <w:r w:rsidRPr="00F34CDA">
              <w:rPr>
                <w:rFonts w:cs="Times New Roman"/>
                <w:sz w:val="20"/>
                <w:szCs w:val="20"/>
              </w:rPr>
              <w:t>Единица</w:t>
            </w:r>
          </w:p>
        </w:tc>
        <w:tc>
          <w:tcPr>
            <w:tcW w:w="5669" w:type="dxa"/>
            <w:shd w:val="clear" w:color="auto" w:fill="auto"/>
          </w:tcPr>
          <w:p w14:paraId="4B53558E" w14:textId="77777777" w:rsidR="00F34CDA" w:rsidRPr="00F34CDA" w:rsidRDefault="00F34CDA" w:rsidP="00C949C2">
            <w:pPr>
              <w:spacing w:line="20" w:lineRule="atLeast"/>
              <w:ind w:left="-108" w:right="-107"/>
              <w:contextualSpacing/>
              <w:rPr>
                <w:rFonts w:cs="Times New Roman"/>
                <w:sz w:val="20"/>
                <w:szCs w:val="20"/>
              </w:rPr>
            </w:pPr>
            <w:r w:rsidRPr="00F34CDA">
              <w:rPr>
                <w:rFonts w:eastAsiaTheme="minorEastAsia" w:cs="Times New Roman"/>
                <w:color w:val="000000" w:themeColor="text1"/>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c>
          <w:tcPr>
            <w:tcW w:w="2693" w:type="dxa"/>
          </w:tcPr>
          <w:p w14:paraId="5705FFA7" w14:textId="77777777" w:rsidR="00F34CDA" w:rsidRPr="00F34CDA" w:rsidRDefault="00F34CDA" w:rsidP="00C949C2">
            <w:pPr>
              <w:spacing w:line="20" w:lineRule="atLeast"/>
              <w:ind w:left="-108" w:right="-107"/>
              <w:contextualSpacing/>
              <w:rPr>
                <w:rFonts w:cs="Times New Roman"/>
                <w:sz w:val="20"/>
                <w:szCs w:val="20"/>
              </w:rPr>
            </w:pPr>
            <w:r w:rsidRPr="00F34CDA">
              <w:rPr>
                <w:rFonts w:cs="Times New Roman"/>
                <w:color w:val="000000" w:themeColor="text1"/>
                <w:sz w:val="20"/>
                <w:szCs w:val="20"/>
              </w:rPr>
              <w:t>Отчетные данные Управление строительства и городской инфраструктуры Администрации городского округа Домодедово  о количестве замененных неэнергоэффективных светильников наружного освещения на территории городского округа Домодедово</w:t>
            </w:r>
          </w:p>
        </w:tc>
        <w:tc>
          <w:tcPr>
            <w:tcW w:w="2297" w:type="dxa"/>
            <w:shd w:val="clear" w:color="auto" w:fill="auto"/>
          </w:tcPr>
          <w:p w14:paraId="1C2D9185"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4FAE0560" w14:textId="77777777" w:rsidTr="00C949C2">
        <w:trPr>
          <w:trHeight w:val="698"/>
        </w:trPr>
        <w:tc>
          <w:tcPr>
            <w:tcW w:w="739" w:type="dxa"/>
            <w:shd w:val="clear" w:color="auto" w:fill="auto"/>
          </w:tcPr>
          <w:p w14:paraId="45152180" w14:textId="77777777" w:rsidR="00F34CDA" w:rsidRPr="00F34CDA" w:rsidRDefault="00F34CDA" w:rsidP="00C949C2">
            <w:pPr>
              <w:jc w:val="center"/>
              <w:rPr>
                <w:rFonts w:cs="Times New Roman"/>
                <w:sz w:val="20"/>
                <w:szCs w:val="20"/>
              </w:rPr>
            </w:pPr>
            <w:r w:rsidRPr="00F34CDA">
              <w:rPr>
                <w:rFonts w:cs="Times New Roman"/>
                <w:sz w:val="20"/>
                <w:szCs w:val="20"/>
              </w:rPr>
              <w:t>16</w:t>
            </w:r>
          </w:p>
        </w:tc>
        <w:tc>
          <w:tcPr>
            <w:tcW w:w="2948" w:type="dxa"/>
            <w:shd w:val="clear" w:color="auto" w:fill="auto"/>
          </w:tcPr>
          <w:p w14:paraId="56B2F30E" w14:textId="77777777" w:rsidR="00F34CDA" w:rsidRPr="00F34CDA" w:rsidRDefault="00F34CDA" w:rsidP="00C949C2">
            <w:pPr>
              <w:spacing w:line="20" w:lineRule="atLeast"/>
              <w:ind w:left="-108" w:right="-108"/>
              <w:contextualSpacing/>
              <w:rPr>
                <w:rFonts w:cs="Times New Roman"/>
                <w:sz w:val="20"/>
                <w:szCs w:val="20"/>
              </w:rPr>
            </w:pPr>
            <w:r w:rsidRPr="00F34CDA">
              <w:rPr>
                <w:rFonts w:cs="Times New Roman"/>
                <w:sz w:val="20"/>
                <w:szCs w:val="20"/>
              </w:rPr>
              <w:t>Установка шкафов управления наружным освещением</w:t>
            </w:r>
          </w:p>
        </w:tc>
        <w:tc>
          <w:tcPr>
            <w:tcW w:w="1162" w:type="dxa"/>
            <w:shd w:val="clear" w:color="auto" w:fill="auto"/>
          </w:tcPr>
          <w:p w14:paraId="2A234BD6" w14:textId="77777777" w:rsidR="00F34CDA" w:rsidRPr="00F34CDA" w:rsidRDefault="00F34CDA" w:rsidP="00C949C2">
            <w:pPr>
              <w:jc w:val="center"/>
              <w:rPr>
                <w:rFonts w:cs="Times New Roman"/>
                <w:sz w:val="20"/>
                <w:szCs w:val="20"/>
              </w:rPr>
            </w:pPr>
            <w:r w:rsidRPr="00F34CDA">
              <w:rPr>
                <w:rFonts w:cs="Times New Roman"/>
                <w:sz w:val="20"/>
                <w:szCs w:val="20"/>
              </w:rPr>
              <w:t>Единица</w:t>
            </w:r>
          </w:p>
        </w:tc>
        <w:tc>
          <w:tcPr>
            <w:tcW w:w="5669" w:type="dxa"/>
            <w:shd w:val="clear" w:color="auto" w:fill="auto"/>
          </w:tcPr>
          <w:p w14:paraId="27210BDD" w14:textId="77777777" w:rsidR="00F34CDA" w:rsidRPr="00F34CDA" w:rsidRDefault="00F34CDA" w:rsidP="00C949C2">
            <w:pPr>
              <w:spacing w:line="20" w:lineRule="atLeast"/>
              <w:ind w:left="-108" w:right="-107"/>
              <w:contextualSpacing/>
              <w:rPr>
                <w:rFonts w:cs="Times New Roman"/>
                <w:sz w:val="20"/>
                <w:szCs w:val="20"/>
              </w:rPr>
            </w:pPr>
            <w:r w:rsidRPr="00F34CDA">
              <w:rPr>
                <w:rFonts w:eastAsiaTheme="minorEastAsia" w:cs="Times New Roman"/>
                <w:sz w:val="20"/>
                <w:szCs w:val="20"/>
                <w:lang w:eastAsia="ru-RU"/>
              </w:rPr>
              <w:t>Значение показателя определяется в соответствии с Методикой расчета дотационных средств, утвержденной на текущий финансовый год</w:t>
            </w:r>
          </w:p>
        </w:tc>
        <w:tc>
          <w:tcPr>
            <w:tcW w:w="2693" w:type="dxa"/>
          </w:tcPr>
          <w:p w14:paraId="39D0DCD3" w14:textId="77777777" w:rsidR="00F34CDA" w:rsidRPr="00F34CDA" w:rsidRDefault="00F34CDA" w:rsidP="00C949C2">
            <w:pPr>
              <w:spacing w:line="20" w:lineRule="atLeast"/>
              <w:ind w:left="-108" w:right="-107"/>
              <w:contextualSpacing/>
              <w:rPr>
                <w:rFonts w:cs="Times New Roman"/>
                <w:sz w:val="20"/>
                <w:szCs w:val="20"/>
              </w:rPr>
            </w:pPr>
            <w:r w:rsidRPr="00F34CDA">
              <w:rPr>
                <w:rFonts w:cs="Times New Roman"/>
                <w:color w:val="000000" w:themeColor="text1"/>
                <w:sz w:val="20"/>
                <w:szCs w:val="20"/>
              </w:rPr>
              <w:t>Отчетные данные Управления строительства и городской инфраструктуры Администрации городского округа Домодедово о  количество установленных шкафов управления наружным освещением на территории городского округа Домодедово</w:t>
            </w:r>
          </w:p>
        </w:tc>
        <w:tc>
          <w:tcPr>
            <w:tcW w:w="2297" w:type="dxa"/>
            <w:shd w:val="clear" w:color="auto" w:fill="auto"/>
          </w:tcPr>
          <w:p w14:paraId="1CB465B1"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67E4A46E" w14:textId="77777777" w:rsidTr="00C949C2">
        <w:trPr>
          <w:trHeight w:val="698"/>
        </w:trPr>
        <w:tc>
          <w:tcPr>
            <w:tcW w:w="739" w:type="dxa"/>
            <w:shd w:val="clear" w:color="auto" w:fill="auto"/>
          </w:tcPr>
          <w:p w14:paraId="6211180D" w14:textId="77777777" w:rsidR="00F34CDA" w:rsidRPr="00F34CDA" w:rsidRDefault="00F34CDA" w:rsidP="00C949C2">
            <w:pPr>
              <w:jc w:val="center"/>
              <w:rPr>
                <w:rFonts w:cs="Times New Roman"/>
                <w:sz w:val="20"/>
                <w:szCs w:val="20"/>
              </w:rPr>
            </w:pPr>
            <w:r w:rsidRPr="00F34CDA">
              <w:rPr>
                <w:rFonts w:cs="Times New Roman"/>
                <w:sz w:val="20"/>
                <w:szCs w:val="20"/>
              </w:rPr>
              <w:t>17</w:t>
            </w:r>
          </w:p>
        </w:tc>
        <w:tc>
          <w:tcPr>
            <w:tcW w:w="2948" w:type="dxa"/>
            <w:shd w:val="clear" w:color="auto" w:fill="auto"/>
          </w:tcPr>
          <w:p w14:paraId="44D4A54E" w14:textId="77777777" w:rsidR="00F34CDA" w:rsidRPr="00F34CDA" w:rsidRDefault="00F34CDA" w:rsidP="00C949C2">
            <w:pPr>
              <w:spacing w:line="20" w:lineRule="atLeast"/>
              <w:ind w:left="-108" w:right="-108"/>
              <w:contextualSpacing/>
              <w:rPr>
                <w:rFonts w:cs="Times New Roman"/>
                <w:color w:val="000000" w:themeColor="text1"/>
                <w:sz w:val="20"/>
                <w:szCs w:val="20"/>
              </w:rPr>
            </w:pPr>
            <w:r w:rsidRPr="00F34CDA">
              <w:rPr>
                <w:rFonts w:cs="Times New Roman"/>
                <w:sz w:val="20"/>
                <w:szCs w:val="20"/>
              </w:rPr>
              <w:t>Количество многоквартирных домов, в которых проведен капитальный ремонт</w:t>
            </w:r>
          </w:p>
        </w:tc>
        <w:tc>
          <w:tcPr>
            <w:tcW w:w="1162" w:type="dxa"/>
            <w:shd w:val="clear" w:color="auto" w:fill="auto"/>
          </w:tcPr>
          <w:p w14:paraId="2CD68178" w14:textId="77777777" w:rsidR="00F34CDA" w:rsidRPr="00F34CDA" w:rsidRDefault="00F34CDA" w:rsidP="00C949C2">
            <w:pPr>
              <w:jc w:val="center"/>
              <w:rPr>
                <w:rFonts w:cs="Times New Roman"/>
                <w:sz w:val="20"/>
                <w:szCs w:val="20"/>
              </w:rPr>
            </w:pPr>
            <w:r w:rsidRPr="00F34CDA">
              <w:rPr>
                <w:rFonts w:eastAsiaTheme="minorEastAsia" w:cs="Times New Roman"/>
                <w:sz w:val="20"/>
                <w:szCs w:val="20"/>
                <w:lang w:eastAsia="ru-RU"/>
              </w:rPr>
              <w:t>Единица</w:t>
            </w:r>
          </w:p>
        </w:tc>
        <w:tc>
          <w:tcPr>
            <w:tcW w:w="5669" w:type="dxa"/>
            <w:shd w:val="clear" w:color="auto" w:fill="auto"/>
          </w:tcPr>
          <w:p w14:paraId="3C31B428" w14:textId="77777777" w:rsidR="00F34CDA" w:rsidRPr="00F34CDA" w:rsidRDefault="00F34CDA" w:rsidP="00C949C2">
            <w:pPr>
              <w:spacing w:line="20" w:lineRule="atLeast"/>
              <w:ind w:left="-108" w:right="-107"/>
              <w:contextualSpacing/>
              <w:rPr>
                <w:rFonts w:eastAsiaTheme="minorEastAsia" w:cs="Times New Roman"/>
                <w:sz w:val="20"/>
                <w:szCs w:val="20"/>
                <w:lang w:eastAsia="ru-RU"/>
              </w:rPr>
            </w:pPr>
            <w:r w:rsidRPr="00F34CDA">
              <w:rPr>
                <w:rFonts w:eastAsiaTheme="minorEastAsia" w:cs="Times New Roman"/>
                <w:sz w:val="20"/>
                <w:szCs w:val="20"/>
                <w:lang w:eastAsia="ru-RU"/>
              </w:rPr>
              <w:t>Значение показателя определяется в соответствии с количеством многоквартирные дома, в которых проведены работы по капитальному ремонту за отчетный период</w:t>
            </w:r>
          </w:p>
        </w:tc>
        <w:tc>
          <w:tcPr>
            <w:tcW w:w="2693" w:type="dxa"/>
          </w:tcPr>
          <w:p w14:paraId="59D93B05" w14:textId="77777777" w:rsidR="00F34CDA" w:rsidRPr="00F34CDA" w:rsidRDefault="00F34CDA" w:rsidP="00C949C2">
            <w:pPr>
              <w:spacing w:line="20" w:lineRule="atLeast"/>
              <w:ind w:left="-108" w:right="-107"/>
              <w:contextualSpacing/>
              <w:rPr>
                <w:rFonts w:cs="Times New Roman"/>
                <w:b/>
                <w:color w:val="000000" w:themeColor="text1"/>
                <w:sz w:val="20"/>
                <w:szCs w:val="20"/>
              </w:rPr>
            </w:pPr>
            <w:r w:rsidRPr="00F34CDA">
              <w:rPr>
                <w:rFonts w:eastAsiaTheme="minorEastAsia" w:cs="Times New Roman"/>
                <w:sz w:val="20"/>
                <w:szCs w:val="20"/>
                <w:lang w:eastAsia="ru-RU"/>
              </w:rPr>
              <w:t>Данные Фонда капитального ремонта общего имущества многоквартирных домов за отчетный период</w:t>
            </w:r>
          </w:p>
        </w:tc>
        <w:tc>
          <w:tcPr>
            <w:tcW w:w="2297" w:type="dxa"/>
            <w:shd w:val="clear" w:color="auto" w:fill="auto"/>
          </w:tcPr>
          <w:p w14:paraId="7DBA1C82"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04FE96AA" w14:textId="77777777" w:rsidTr="00C949C2">
        <w:trPr>
          <w:trHeight w:val="698"/>
        </w:trPr>
        <w:tc>
          <w:tcPr>
            <w:tcW w:w="739" w:type="dxa"/>
            <w:shd w:val="clear" w:color="auto" w:fill="auto"/>
          </w:tcPr>
          <w:p w14:paraId="4984FDE1" w14:textId="77777777" w:rsidR="00F34CDA" w:rsidRPr="00F34CDA" w:rsidRDefault="00F34CDA" w:rsidP="00C949C2">
            <w:pPr>
              <w:jc w:val="center"/>
              <w:rPr>
                <w:rFonts w:cs="Times New Roman"/>
                <w:sz w:val="20"/>
                <w:szCs w:val="20"/>
              </w:rPr>
            </w:pPr>
            <w:r w:rsidRPr="00F34CDA">
              <w:rPr>
                <w:rFonts w:cs="Times New Roman"/>
                <w:sz w:val="20"/>
                <w:szCs w:val="20"/>
              </w:rPr>
              <w:t>18</w:t>
            </w:r>
          </w:p>
        </w:tc>
        <w:tc>
          <w:tcPr>
            <w:tcW w:w="2948" w:type="dxa"/>
            <w:shd w:val="clear" w:color="auto" w:fill="auto"/>
          </w:tcPr>
          <w:p w14:paraId="0E0C8C7D" w14:textId="77777777" w:rsidR="00F34CDA" w:rsidRPr="00F34CDA" w:rsidRDefault="00F34CDA" w:rsidP="00C949C2">
            <w:pPr>
              <w:spacing w:line="20" w:lineRule="atLeast"/>
              <w:ind w:left="-108" w:right="-108"/>
              <w:contextualSpacing/>
              <w:rPr>
                <w:rFonts w:cs="Times New Roman"/>
                <w:color w:val="000000" w:themeColor="text1"/>
                <w:sz w:val="20"/>
                <w:szCs w:val="20"/>
              </w:rPr>
            </w:pPr>
            <w:r w:rsidRPr="00F34CDA">
              <w:rPr>
                <w:rFonts w:cs="Times New Roman"/>
                <w:sz w:val="20"/>
                <w:szCs w:val="20"/>
              </w:rPr>
              <w:t xml:space="preserve">Количество отремонтированных подъездов в многоквартирных домах </w:t>
            </w:r>
          </w:p>
        </w:tc>
        <w:tc>
          <w:tcPr>
            <w:tcW w:w="1162" w:type="dxa"/>
            <w:shd w:val="clear" w:color="auto" w:fill="auto"/>
          </w:tcPr>
          <w:p w14:paraId="12765288" w14:textId="77777777" w:rsidR="00F34CDA" w:rsidRPr="00F34CDA" w:rsidRDefault="00F34CDA" w:rsidP="00C949C2">
            <w:pPr>
              <w:jc w:val="center"/>
              <w:rPr>
                <w:rFonts w:cs="Times New Roman"/>
                <w:sz w:val="20"/>
                <w:szCs w:val="20"/>
              </w:rPr>
            </w:pPr>
            <w:r w:rsidRPr="00F34CDA">
              <w:rPr>
                <w:rFonts w:eastAsiaTheme="minorEastAsia" w:cs="Times New Roman"/>
                <w:sz w:val="20"/>
                <w:szCs w:val="20"/>
                <w:lang w:eastAsia="ru-RU"/>
              </w:rPr>
              <w:t>Единица</w:t>
            </w:r>
          </w:p>
        </w:tc>
        <w:tc>
          <w:tcPr>
            <w:tcW w:w="5669" w:type="dxa"/>
            <w:shd w:val="clear" w:color="auto" w:fill="auto"/>
          </w:tcPr>
          <w:p w14:paraId="6048EAF2" w14:textId="77777777" w:rsidR="00F34CDA" w:rsidRPr="00F34CDA" w:rsidRDefault="00F34CDA" w:rsidP="00C949C2">
            <w:pPr>
              <w:spacing w:line="20" w:lineRule="atLeast"/>
              <w:ind w:left="-108" w:right="-107"/>
              <w:contextualSpacing/>
              <w:rPr>
                <w:rFonts w:eastAsiaTheme="minorEastAsia" w:cs="Times New Roman"/>
                <w:sz w:val="20"/>
                <w:szCs w:val="20"/>
                <w:lang w:eastAsia="ru-RU"/>
              </w:rPr>
            </w:pPr>
            <w:r w:rsidRPr="00F34CDA">
              <w:rPr>
                <w:rFonts w:eastAsiaTheme="minorEastAsia" w:cs="Times New Roman"/>
                <w:sz w:val="20"/>
                <w:szCs w:val="20"/>
                <w:lang w:eastAsia="ru-RU"/>
              </w:rPr>
              <w:t>Значение показателя определяется в соответствии с количеством отремонтированных подъездов в многоквартирных домах за отчетный период</w:t>
            </w:r>
          </w:p>
        </w:tc>
        <w:tc>
          <w:tcPr>
            <w:tcW w:w="2693" w:type="dxa"/>
          </w:tcPr>
          <w:p w14:paraId="686A20F3" w14:textId="77777777" w:rsidR="00F34CDA" w:rsidRPr="00F34CDA" w:rsidRDefault="00F34CDA" w:rsidP="00C949C2">
            <w:pPr>
              <w:spacing w:line="20" w:lineRule="atLeast"/>
              <w:ind w:left="-108" w:right="-107"/>
              <w:contextualSpacing/>
              <w:rPr>
                <w:rFonts w:cs="Times New Roman"/>
                <w:color w:val="000000" w:themeColor="text1"/>
                <w:sz w:val="20"/>
                <w:szCs w:val="20"/>
              </w:rPr>
            </w:pPr>
            <w:r w:rsidRPr="00F34CDA">
              <w:rPr>
                <w:rFonts w:eastAsiaTheme="minorEastAsia" w:cs="Times New Roman"/>
                <w:sz w:val="20"/>
                <w:szCs w:val="20"/>
                <w:lang w:eastAsia="ru-RU"/>
              </w:rPr>
              <w:t>Адресный перечень  отремонтированных подъездов в многоквартирных домах городского округа Домодедово за отчетный период</w:t>
            </w:r>
          </w:p>
        </w:tc>
        <w:tc>
          <w:tcPr>
            <w:tcW w:w="2297" w:type="dxa"/>
            <w:shd w:val="clear" w:color="auto" w:fill="auto"/>
          </w:tcPr>
          <w:p w14:paraId="4A7EFEB7"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182AD5EE" w14:textId="77777777" w:rsidTr="00C949C2">
        <w:trPr>
          <w:trHeight w:val="698"/>
        </w:trPr>
        <w:tc>
          <w:tcPr>
            <w:tcW w:w="739" w:type="dxa"/>
            <w:shd w:val="clear" w:color="auto" w:fill="auto"/>
          </w:tcPr>
          <w:p w14:paraId="35E6A59D" w14:textId="77777777" w:rsidR="00F34CDA" w:rsidRPr="00F34CDA" w:rsidRDefault="00F34CDA" w:rsidP="00C949C2">
            <w:pPr>
              <w:jc w:val="center"/>
              <w:rPr>
                <w:rFonts w:cs="Times New Roman"/>
                <w:sz w:val="20"/>
                <w:szCs w:val="20"/>
              </w:rPr>
            </w:pPr>
            <w:r w:rsidRPr="00F34CDA">
              <w:rPr>
                <w:rFonts w:cs="Times New Roman"/>
                <w:sz w:val="20"/>
                <w:szCs w:val="20"/>
              </w:rPr>
              <w:t>19</w:t>
            </w:r>
          </w:p>
        </w:tc>
        <w:tc>
          <w:tcPr>
            <w:tcW w:w="2948" w:type="dxa"/>
            <w:shd w:val="clear" w:color="auto" w:fill="auto"/>
          </w:tcPr>
          <w:p w14:paraId="6C6C582A" w14:textId="77777777" w:rsidR="00F34CDA" w:rsidRPr="00F34CDA" w:rsidRDefault="00F34CDA" w:rsidP="00C949C2">
            <w:pPr>
              <w:spacing w:line="20" w:lineRule="atLeast"/>
              <w:ind w:left="-108" w:right="-108"/>
              <w:contextualSpacing/>
              <w:rPr>
                <w:rFonts w:cs="Times New Roman"/>
                <w:sz w:val="20"/>
                <w:szCs w:val="20"/>
              </w:rPr>
            </w:pPr>
            <w:r w:rsidRPr="00F34CDA">
              <w:rPr>
                <w:rFonts w:cs="Times New Roman"/>
                <w:color w:val="000000" w:themeColor="text1"/>
                <w:sz w:val="20"/>
                <w:szCs w:val="20"/>
              </w:rPr>
              <w:t xml:space="preserve">Уровень освещенности территорий общественного пользования в пределах </w:t>
            </w:r>
            <w:r w:rsidRPr="00F34CDA">
              <w:rPr>
                <w:rFonts w:cs="Times New Roman"/>
                <w:color w:val="000000" w:themeColor="text1"/>
                <w:sz w:val="20"/>
                <w:szCs w:val="20"/>
              </w:rPr>
              <w:lastRenderedPageBreak/>
              <w:t>городской черты на конец года, не менее</w:t>
            </w:r>
          </w:p>
        </w:tc>
        <w:tc>
          <w:tcPr>
            <w:tcW w:w="1162" w:type="dxa"/>
            <w:shd w:val="clear" w:color="auto" w:fill="auto"/>
          </w:tcPr>
          <w:p w14:paraId="137F4530" w14:textId="77777777" w:rsidR="00F34CDA" w:rsidRPr="00F34CDA" w:rsidRDefault="00F34CDA" w:rsidP="00C949C2">
            <w:pPr>
              <w:jc w:val="center"/>
              <w:rPr>
                <w:rFonts w:eastAsiaTheme="minorEastAsia" w:cs="Times New Roman"/>
                <w:sz w:val="20"/>
                <w:szCs w:val="20"/>
                <w:lang w:eastAsia="ru-RU"/>
              </w:rPr>
            </w:pPr>
            <w:r w:rsidRPr="00F34CDA">
              <w:rPr>
                <w:rFonts w:eastAsiaTheme="minorEastAsia" w:cs="Times New Roman"/>
                <w:sz w:val="20"/>
                <w:szCs w:val="20"/>
                <w:lang w:eastAsia="ru-RU"/>
              </w:rPr>
              <w:lastRenderedPageBreak/>
              <w:t>Процент</w:t>
            </w:r>
          </w:p>
        </w:tc>
        <w:tc>
          <w:tcPr>
            <w:tcW w:w="5669" w:type="dxa"/>
            <w:shd w:val="clear" w:color="auto" w:fill="auto"/>
          </w:tcPr>
          <w:p w14:paraId="148DF4B8" w14:textId="77777777" w:rsidR="00F34CDA" w:rsidRPr="00F34CDA" w:rsidRDefault="00F34CDA" w:rsidP="00C949C2">
            <w:pPr>
              <w:spacing w:line="20" w:lineRule="atLeast"/>
              <w:ind w:right="-107"/>
              <w:contextualSpacing/>
              <w:rPr>
                <w:rFonts w:eastAsiaTheme="minorEastAsia" w:cs="Times New Roman"/>
                <w:sz w:val="20"/>
                <w:szCs w:val="20"/>
                <w:lang w:eastAsia="ru-RU"/>
              </w:rPr>
            </w:pPr>
            <w:r w:rsidRPr="00F34CDA">
              <w:rPr>
                <w:rFonts w:cs="Times New Roman"/>
                <w:sz w:val="20"/>
                <w:szCs w:val="20"/>
              </w:rPr>
              <w:t xml:space="preserve">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w:t>
            </w:r>
            <w:r w:rsidRPr="00F34CDA">
              <w:rPr>
                <w:rFonts w:cs="Times New Roman"/>
                <w:sz w:val="20"/>
                <w:szCs w:val="20"/>
              </w:rPr>
              <w:lastRenderedPageBreak/>
              <w:t>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2693" w:type="dxa"/>
          </w:tcPr>
          <w:p w14:paraId="24F1E5C0" w14:textId="77777777" w:rsidR="00F34CDA" w:rsidRPr="00F34CDA" w:rsidRDefault="00F34CDA" w:rsidP="00C949C2">
            <w:pPr>
              <w:spacing w:line="20" w:lineRule="atLeast"/>
              <w:ind w:left="-108" w:right="-107"/>
              <w:contextualSpacing/>
              <w:rPr>
                <w:rFonts w:eastAsiaTheme="minorEastAsia" w:cs="Times New Roman"/>
                <w:sz w:val="20"/>
                <w:szCs w:val="20"/>
                <w:lang w:eastAsia="ru-RU"/>
              </w:rPr>
            </w:pPr>
            <w:r w:rsidRPr="00F34CDA">
              <w:rPr>
                <w:rFonts w:cs="Times New Roman"/>
                <w:color w:val="000000" w:themeColor="text1"/>
                <w:sz w:val="20"/>
                <w:szCs w:val="20"/>
              </w:rPr>
              <w:lastRenderedPageBreak/>
              <w:t xml:space="preserve">Отчетные данные Управления строительства и городской инфраструктуры Администрации городского </w:t>
            </w:r>
            <w:r w:rsidRPr="00F34CDA">
              <w:rPr>
                <w:rFonts w:cs="Times New Roman"/>
                <w:color w:val="000000" w:themeColor="text1"/>
                <w:sz w:val="20"/>
                <w:szCs w:val="20"/>
              </w:rPr>
              <w:lastRenderedPageBreak/>
              <w:t>округа Домодедово  об уровне освещенности территорий в пределах городской черты</w:t>
            </w:r>
          </w:p>
        </w:tc>
        <w:tc>
          <w:tcPr>
            <w:tcW w:w="2297" w:type="dxa"/>
            <w:shd w:val="clear" w:color="auto" w:fill="auto"/>
          </w:tcPr>
          <w:p w14:paraId="6F07C559"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lastRenderedPageBreak/>
              <w:t>Ежегодная</w:t>
            </w:r>
          </w:p>
        </w:tc>
      </w:tr>
      <w:tr w:rsidR="00F34CDA" w:rsidRPr="00F34CDA" w14:paraId="6104B5DD" w14:textId="77777777" w:rsidTr="00C949C2">
        <w:trPr>
          <w:trHeight w:val="698"/>
        </w:trPr>
        <w:tc>
          <w:tcPr>
            <w:tcW w:w="739" w:type="dxa"/>
            <w:shd w:val="clear" w:color="auto" w:fill="auto"/>
          </w:tcPr>
          <w:p w14:paraId="3E5DC2D5" w14:textId="77777777" w:rsidR="00F34CDA" w:rsidRPr="00F34CDA" w:rsidRDefault="00F34CDA" w:rsidP="00C949C2">
            <w:pPr>
              <w:jc w:val="center"/>
              <w:rPr>
                <w:rFonts w:cs="Times New Roman"/>
                <w:sz w:val="20"/>
                <w:szCs w:val="20"/>
              </w:rPr>
            </w:pPr>
            <w:r w:rsidRPr="00F34CDA">
              <w:rPr>
                <w:rFonts w:cs="Times New Roman"/>
                <w:sz w:val="20"/>
                <w:szCs w:val="20"/>
              </w:rPr>
              <w:lastRenderedPageBreak/>
              <w:t>20</w:t>
            </w:r>
          </w:p>
        </w:tc>
        <w:tc>
          <w:tcPr>
            <w:tcW w:w="2948" w:type="dxa"/>
            <w:shd w:val="clear" w:color="auto" w:fill="auto"/>
          </w:tcPr>
          <w:p w14:paraId="2E084823" w14:textId="77777777" w:rsidR="00F34CDA" w:rsidRPr="00F34CDA" w:rsidRDefault="00F34CDA" w:rsidP="00C949C2">
            <w:pPr>
              <w:spacing w:line="20" w:lineRule="atLeast"/>
              <w:ind w:left="-108" w:right="-108"/>
              <w:contextualSpacing/>
              <w:rPr>
                <w:rFonts w:cs="Times New Roman"/>
                <w:sz w:val="20"/>
                <w:szCs w:val="20"/>
              </w:rPr>
            </w:pPr>
            <w:r w:rsidRPr="00F34CDA">
              <w:rPr>
                <w:rFonts w:cs="Times New Roman"/>
                <w:color w:val="000000" w:themeColor="text1"/>
                <w:sz w:val="20"/>
                <w:szCs w:val="20"/>
              </w:rPr>
              <w:t>Уровень освещенности территорий общественного пользования вне пределов городской черты на конец года, не менее</w:t>
            </w:r>
          </w:p>
        </w:tc>
        <w:tc>
          <w:tcPr>
            <w:tcW w:w="1162" w:type="dxa"/>
            <w:shd w:val="clear" w:color="auto" w:fill="auto"/>
          </w:tcPr>
          <w:p w14:paraId="0EC429A1" w14:textId="77777777" w:rsidR="00F34CDA" w:rsidRPr="00F34CDA" w:rsidRDefault="00F34CDA" w:rsidP="00C949C2">
            <w:pPr>
              <w:jc w:val="center"/>
              <w:rPr>
                <w:rFonts w:eastAsiaTheme="minorEastAsia" w:cs="Times New Roman"/>
                <w:sz w:val="20"/>
                <w:szCs w:val="20"/>
                <w:lang w:eastAsia="ru-RU"/>
              </w:rPr>
            </w:pPr>
            <w:r w:rsidRPr="00F34CDA">
              <w:rPr>
                <w:rFonts w:eastAsiaTheme="minorEastAsia" w:cs="Times New Roman"/>
                <w:sz w:val="20"/>
                <w:szCs w:val="20"/>
                <w:lang w:eastAsia="ru-RU"/>
              </w:rPr>
              <w:t>Процент</w:t>
            </w:r>
          </w:p>
        </w:tc>
        <w:tc>
          <w:tcPr>
            <w:tcW w:w="5669" w:type="dxa"/>
            <w:shd w:val="clear" w:color="auto" w:fill="auto"/>
          </w:tcPr>
          <w:p w14:paraId="167DC0D6" w14:textId="77777777" w:rsidR="00F34CDA" w:rsidRPr="00F34CDA" w:rsidRDefault="00F34CDA" w:rsidP="00C949C2">
            <w:pPr>
              <w:spacing w:line="20" w:lineRule="atLeast"/>
              <w:ind w:right="-107"/>
              <w:contextualSpacing/>
              <w:rPr>
                <w:rFonts w:eastAsiaTheme="minorEastAsia" w:cs="Times New Roman"/>
                <w:sz w:val="20"/>
                <w:szCs w:val="20"/>
                <w:lang w:eastAsia="ru-RU"/>
              </w:rPr>
            </w:pPr>
            <w:r w:rsidRPr="00F34CDA">
              <w:rPr>
                <w:rFonts w:cs="Times New Roman"/>
                <w:sz w:val="20"/>
                <w:szCs w:val="20"/>
              </w:rPr>
              <w:t>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2693" w:type="dxa"/>
          </w:tcPr>
          <w:p w14:paraId="715B7FD2" w14:textId="77777777" w:rsidR="00F34CDA" w:rsidRPr="00F34CDA" w:rsidRDefault="00F34CDA" w:rsidP="00C949C2">
            <w:pPr>
              <w:spacing w:line="20" w:lineRule="atLeast"/>
              <w:ind w:left="-108" w:right="-107"/>
              <w:contextualSpacing/>
              <w:rPr>
                <w:rFonts w:eastAsiaTheme="minorEastAsia" w:cs="Times New Roman"/>
                <w:sz w:val="20"/>
                <w:szCs w:val="20"/>
                <w:lang w:eastAsia="ru-RU"/>
              </w:rPr>
            </w:pPr>
            <w:r w:rsidRPr="00F34CDA">
              <w:rPr>
                <w:rFonts w:cs="Times New Roman"/>
                <w:color w:val="000000" w:themeColor="text1"/>
                <w:sz w:val="20"/>
                <w:szCs w:val="20"/>
              </w:rPr>
              <w:t>Отчетные данные Управления строительства и городской инфраструктуры Администрации городского округа Домодедово  об уровне освещенности территорий вне пределов городской черты</w:t>
            </w:r>
          </w:p>
        </w:tc>
        <w:tc>
          <w:tcPr>
            <w:tcW w:w="2297" w:type="dxa"/>
            <w:shd w:val="clear" w:color="auto" w:fill="auto"/>
          </w:tcPr>
          <w:p w14:paraId="5E439053"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3F3F95B0" w14:textId="77777777" w:rsidTr="00C949C2">
        <w:trPr>
          <w:trHeight w:val="698"/>
        </w:trPr>
        <w:tc>
          <w:tcPr>
            <w:tcW w:w="739" w:type="dxa"/>
            <w:shd w:val="clear" w:color="auto" w:fill="auto"/>
          </w:tcPr>
          <w:p w14:paraId="0CC1C6D7" w14:textId="77777777" w:rsidR="00F34CDA" w:rsidRPr="00F34CDA" w:rsidRDefault="00F34CDA" w:rsidP="00C949C2">
            <w:pPr>
              <w:jc w:val="center"/>
              <w:rPr>
                <w:rFonts w:cs="Times New Roman"/>
                <w:sz w:val="20"/>
                <w:szCs w:val="20"/>
              </w:rPr>
            </w:pPr>
            <w:r w:rsidRPr="00F34CDA">
              <w:rPr>
                <w:rFonts w:cs="Times New Roman"/>
                <w:sz w:val="20"/>
                <w:szCs w:val="20"/>
              </w:rPr>
              <w:t>21</w:t>
            </w:r>
          </w:p>
        </w:tc>
        <w:tc>
          <w:tcPr>
            <w:tcW w:w="2948" w:type="dxa"/>
            <w:shd w:val="clear" w:color="auto" w:fill="auto"/>
          </w:tcPr>
          <w:p w14:paraId="00F5DAA2" w14:textId="77777777" w:rsidR="00F34CDA" w:rsidRPr="00F34CDA" w:rsidRDefault="00F34CDA" w:rsidP="00C949C2">
            <w:pPr>
              <w:spacing w:line="20" w:lineRule="atLeast"/>
              <w:ind w:left="-108" w:right="-108"/>
              <w:contextualSpacing/>
              <w:rPr>
                <w:rFonts w:cs="Times New Roman"/>
                <w:color w:val="000000" w:themeColor="text1"/>
                <w:sz w:val="20"/>
                <w:szCs w:val="20"/>
              </w:rPr>
            </w:pPr>
            <w:r w:rsidRPr="00F34CDA">
              <w:rPr>
                <w:rFonts w:cs="Times New Roman"/>
                <w:color w:val="000000" w:themeColor="text1"/>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62" w:type="dxa"/>
            <w:shd w:val="clear" w:color="auto" w:fill="auto"/>
          </w:tcPr>
          <w:p w14:paraId="72D138FD" w14:textId="77777777" w:rsidR="00F34CDA" w:rsidRPr="00F34CDA" w:rsidRDefault="00F34CDA" w:rsidP="00C949C2">
            <w:pPr>
              <w:jc w:val="center"/>
              <w:rPr>
                <w:rFonts w:eastAsiaTheme="minorEastAsia" w:cs="Times New Roman"/>
                <w:sz w:val="20"/>
                <w:szCs w:val="20"/>
                <w:lang w:eastAsia="ru-RU"/>
              </w:rPr>
            </w:pPr>
            <w:r w:rsidRPr="00F34CDA">
              <w:rPr>
                <w:rFonts w:eastAsiaTheme="minorEastAsia" w:cs="Times New Roman"/>
                <w:sz w:val="20"/>
                <w:szCs w:val="20"/>
                <w:lang w:eastAsia="ru-RU"/>
              </w:rPr>
              <w:t>Процент</w:t>
            </w:r>
          </w:p>
        </w:tc>
        <w:tc>
          <w:tcPr>
            <w:tcW w:w="5669" w:type="dxa"/>
            <w:shd w:val="clear" w:color="auto" w:fill="auto"/>
          </w:tcPr>
          <w:p w14:paraId="5F842E55" w14:textId="77777777" w:rsidR="00F34CDA" w:rsidRPr="00F34CDA" w:rsidRDefault="00F34CDA" w:rsidP="00C949C2">
            <w:pPr>
              <w:spacing w:line="20" w:lineRule="atLeast"/>
              <w:ind w:right="-107"/>
              <w:contextualSpacing/>
              <w:rPr>
                <w:rFonts w:cs="Times New Roman"/>
                <w:sz w:val="20"/>
                <w:szCs w:val="20"/>
              </w:rPr>
            </w:pPr>
            <w:r w:rsidRPr="00F34CDA">
              <w:rPr>
                <w:rFonts w:cs="Times New Roman"/>
                <w:sz w:val="20"/>
                <w:szCs w:val="20"/>
              </w:rPr>
              <w:t>Значение показателя утверждается приказом Министерства строительства и жилищно-коммунального хозяйства Российской Федерации от 18.04.2019 № 228/</w:t>
            </w:r>
            <w:proofErr w:type="spellStart"/>
            <w:r w:rsidRPr="00F34CDA">
              <w:rPr>
                <w:rFonts w:cs="Times New Roman"/>
                <w:sz w:val="20"/>
                <w:szCs w:val="20"/>
              </w:rPr>
              <w:t>пр</w:t>
            </w:r>
            <w:proofErr w:type="spellEnd"/>
            <w:r w:rsidRPr="00F34CDA">
              <w:rPr>
                <w:rFonts w:cs="Times New Roman"/>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2693" w:type="dxa"/>
          </w:tcPr>
          <w:p w14:paraId="6CF251F6" w14:textId="77777777" w:rsidR="00F34CDA" w:rsidRPr="00F34CDA" w:rsidRDefault="00F34CDA" w:rsidP="00C949C2">
            <w:pPr>
              <w:spacing w:line="20" w:lineRule="atLeast"/>
              <w:ind w:left="-108" w:right="-107"/>
              <w:contextualSpacing/>
              <w:rPr>
                <w:rFonts w:cs="Times New Roman"/>
                <w:color w:val="000000" w:themeColor="text1"/>
                <w:sz w:val="20"/>
                <w:szCs w:val="20"/>
              </w:rPr>
            </w:pPr>
            <w:r w:rsidRPr="00F34CDA">
              <w:rPr>
                <w:rFonts w:cs="Times New Roman"/>
                <w:sz w:val="20"/>
                <w:szCs w:val="20"/>
              </w:rPr>
              <w:t>Приказ Министерства строительства и жилищно-коммунального хозяйства Российской Федерации от 18.04.2019 № 228/</w:t>
            </w:r>
            <w:proofErr w:type="spellStart"/>
            <w:r w:rsidRPr="00F34CDA">
              <w:rPr>
                <w:rFonts w:cs="Times New Roman"/>
                <w:sz w:val="20"/>
                <w:szCs w:val="20"/>
              </w:rPr>
              <w:t>пр</w:t>
            </w:r>
            <w:proofErr w:type="spellEnd"/>
            <w:r w:rsidRPr="00F34CDA">
              <w:rPr>
                <w:rFonts w:cs="Times New Roman"/>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2297" w:type="dxa"/>
            <w:shd w:val="clear" w:color="auto" w:fill="auto"/>
          </w:tcPr>
          <w:p w14:paraId="273F3777"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59FCF3CC" w14:textId="77777777" w:rsidTr="00C949C2">
        <w:trPr>
          <w:trHeight w:val="698"/>
        </w:trPr>
        <w:tc>
          <w:tcPr>
            <w:tcW w:w="739" w:type="dxa"/>
            <w:shd w:val="clear" w:color="auto" w:fill="auto"/>
          </w:tcPr>
          <w:p w14:paraId="055E6964" w14:textId="77777777" w:rsidR="00F34CDA" w:rsidRPr="00F34CDA" w:rsidRDefault="00F34CDA" w:rsidP="00C949C2">
            <w:pPr>
              <w:jc w:val="center"/>
              <w:rPr>
                <w:rFonts w:cs="Times New Roman"/>
                <w:sz w:val="20"/>
                <w:szCs w:val="20"/>
              </w:rPr>
            </w:pPr>
            <w:r w:rsidRPr="00F34CDA">
              <w:rPr>
                <w:rFonts w:cs="Times New Roman"/>
                <w:sz w:val="20"/>
                <w:szCs w:val="20"/>
              </w:rPr>
              <w:t>22</w:t>
            </w:r>
          </w:p>
        </w:tc>
        <w:tc>
          <w:tcPr>
            <w:tcW w:w="2948" w:type="dxa"/>
            <w:shd w:val="clear" w:color="auto" w:fill="auto"/>
          </w:tcPr>
          <w:p w14:paraId="11FDDCC0" w14:textId="77777777" w:rsidR="00F34CDA" w:rsidRPr="00F34CDA" w:rsidRDefault="00F34CDA" w:rsidP="00C949C2">
            <w:pPr>
              <w:spacing w:line="20" w:lineRule="atLeast"/>
              <w:ind w:left="-108" w:right="-108"/>
              <w:contextualSpacing/>
              <w:rPr>
                <w:rFonts w:cs="Times New Roman"/>
                <w:color w:val="000000" w:themeColor="text1"/>
                <w:sz w:val="20"/>
                <w:szCs w:val="20"/>
              </w:rPr>
            </w:pPr>
            <w:r w:rsidRPr="00F34CDA">
              <w:rPr>
                <w:rFonts w:cs="Times New Roman"/>
                <w:color w:val="000000" w:themeColor="text1"/>
                <w:sz w:val="20"/>
                <w:szCs w:val="20"/>
              </w:rPr>
              <w:t>Модернизация детских, игровых площадок, установленных ранее с привлечением средств бюджета Московской области</w:t>
            </w:r>
          </w:p>
        </w:tc>
        <w:tc>
          <w:tcPr>
            <w:tcW w:w="1162" w:type="dxa"/>
            <w:shd w:val="clear" w:color="auto" w:fill="auto"/>
          </w:tcPr>
          <w:p w14:paraId="530A66CC" w14:textId="77777777" w:rsidR="00F34CDA" w:rsidRPr="00F34CDA" w:rsidRDefault="00F34CDA" w:rsidP="00C949C2">
            <w:pPr>
              <w:jc w:val="center"/>
              <w:rPr>
                <w:rFonts w:eastAsiaTheme="minorEastAsia" w:cs="Times New Roman"/>
                <w:sz w:val="20"/>
                <w:szCs w:val="20"/>
                <w:lang w:eastAsia="ru-RU"/>
              </w:rPr>
            </w:pPr>
            <w:r w:rsidRPr="00F34CDA">
              <w:rPr>
                <w:rFonts w:eastAsiaTheme="minorEastAsia" w:cs="Times New Roman"/>
                <w:sz w:val="20"/>
                <w:szCs w:val="20"/>
                <w:lang w:eastAsia="ru-RU"/>
              </w:rPr>
              <w:t>Единица</w:t>
            </w:r>
          </w:p>
        </w:tc>
        <w:tc>
          <w:tcPr>
            <w:tcW w:w="5669" w:type="dxa"/>
            <w:shd w:val="clear" w:color="auto" w:fill="auto"/>
          </w:tcPr>
          <w:p w14:paraId="51169107" w14:textId="77777777" w:rsidR="00F34CDA" w:rsidRPr="00F34CDA" w:rsidRDefault="00F34CDA" w:rsidP="00C949C2">
            <w:pPr>
              <w:spacing w:line="20" w:lineRule="atLeast"/>
              <w:ind w:right="-107"/>
              <w:contextualSpacing/>
              <w:rPr>
                <w:rFonts w:cs="Times New Roman"/>
                <w:sz w:val="20"/>
                <w:szCs w:val="20"/>
              </w:rPr>
            </w:pPr>
            <w:r w:rsidRPr="00F34CDA">
              <w:rPr>
                <w:rFonts w:cs="Times New Roman"/>
                <w:sz w:val="20"/>
                <w:szCs w:val="20"/>
              </w:rPr>
              <w:t>Значение показателя определяется в соответствии с Методикой расчета дотационных средств, утвержденной на текущий финансовый год</w:t>
            </w:r>
          </w:p>
        </w:tc>
        <w:tc>
          <w:tcPr>
            <w:tcW w:w="2693" w:type="dxa"/>
          </w:tcPr>
          <w:p w14:paraId="69C6891D" w14:textId="77777777" w:rsidR="00F34CDA" w:rsidRPr="00F34CDA" w:rsidRDefault="00F34CDA" w:rsidP="00C949C2">
            <w:pPr>
              <w:spacing w:line="20" w:lineRule="atLeast"/>
              <w:ind w:left="-108" w:right="-107"/>
              <w:contextualSpacing/>
              <w:rPr>
                <w:rFonts w:cs="Times New Roman"/>
                <w:color w:val="000000" w:themeColor="text1"/>
                <w:sz w:val="20"/>
                <w:szCs w:val="20"/>
              </w:rPr>
            </w:pPr>
            <w:r w:rsidRPr="00F34CDA">
              <w:rPr>
                <w:rFonts w:cs="Times New Roman"/>
                <w:sz w:val="20"/>
                <w:szCs w:val="20"/>
              </w:rPr>
              <w:t>Методика расчета дотационных средств</w:t>
            </w:r>
          </w:p>
        </w:tc>
        <w:tc>
          <w:tcPr>
            <w:tcW w:w="2297" w:type="dxa"/>
            <w:shd w:val="clear" w:color="auto" w:fill="auto"/>
          </w:tcPr>
          <w:p w14:paraId="008719FF" w14:textId="77777777" w:rsidR="00F34CDA" w:rsidRPr="00F34CDA" w:rsidRDefault="00F34CDA" w:rsidP="00C949C2">
            <w:pPr>
              <w:spacing w:line="20" w:lineRule="atLeast"/>
              <w:ind w:left="-109" w:right="-108"/>
              <w:contextualSpacing/>
              <w:jc w:val="center"/>
              <w:rPr>
                <w:rFonts w:eastAsia="Arial Unicode MS" w:cs="Times New Roman"/>
                <w:color w:val="000000"/>
                <w:sz w:val="20"/>
                <w:szCs w:val="20"/>
              </w:rPr>
            </w:pPr>
            <w:r w:rsidRPr="00F34CDA">
              <w:rPr>
                <w:rFonts w:eastAsia="Arial Unicode MS" w:cs="Times New Roman"/>
                <w:color w:val="000000"/>
                <w:sz w:val="20"/>
                <w:szCs w:val="20"/>
              </w:rPr>
              <w:t>Ежегодная</w:t>
            </w:r>
          </w:p>
        </w:tc>
      </w:tr>
      <w:tr w:rsidR="00F34CDA" w:rsidRPr="00F34CDA" w14:paraId="65644A06" w14:textId="77777777" w:rsidTr="00C949C2">
        <w:trPr>
          <w:trHeight w:val="698"/>
        </w:trPr>
        <w:tc>
          <w:tcPr>
            <w:tcW w:w="739" w:type="dxa"/>
            <w:shd w:val="clear" w:color="auto" w:fill="auto"/>
          </w:tcPr>
          <w:p w14:paraId="5821C0BC" w14:textId="77777777" w:rsidR="00F34CDA" w:rsidRPr="00F34CDA" w:rsidRDefault="00F34CDA" w:rsidP="00C949C2">
            <w:pPr>
              <w:jc w:val="center"/>
              <w:rPr>
                <w:rFonts w:cs="Times New Roman"/>
                <w:sz w:val="20"/>
                <w:szCs w:val="20"/>
              </w:rPr>
            </w:pPr>
            <w:r w:rsidRPr="00F34CDA">
              <w:rPr>
                <w:rFonts w:cs="Times New Roman"/>
                <w:sz w:val="20"/>
                <w:szCs w:val="20"/>
              </w:rPr>
              <w:t>23</w:t>
            </w:r>
          </w:p>
        </w:tc>
        <w:tc>
          <w:tcPr>
            <w:tcW w:w="2948" w:type="dxa"/>
            <w:shd w:val="clear" w:color="auto" w:fill="auto"/>
          </w:tcPr>
          <w:p w14:paraId="21EBD99F" w14:textId="77777777" w:rsidR="00F34CDA" w:rsidRPr="00F34CDA" w:rsidRDefault="00F34CDA" w:rsidP="00C949C2">
            <w:pPr>
              <w:spacing w:line="20" w:lineRule="atLeast"/>
              <w:ind w:left="-108" w:right="-108"/>
              <w:contextualSpacing/>
              <w:rPr>
                <w:rFonts w:cs="Times New Roman"/>
                <w:iCs/>
                <w:sz w:val="20"/>
                <w:szCs w:val="20"/>
              </w:rPr>
            </w:pPr>
            <w:r w:rsidRPr="00F34CDA">
              <w:rPr>
                <w:rFonts w:cs="Times New Roman"/>
                <w:iCs/>
                <w:sz w:val="20"/>
                <w:szCs w:val="20"/>
              </w:rPr>
              <w:t>Улучшен визуальный облик территорий муниципального образования (в том числе, украшены территории)</w:t>
            </w:r>
          </w:p>
          <w:p w14:paraId="70085CC2" w14:textId="77777777" w:rsidR="00F34CDA" w:rsidRPr="00F34CDA" w:rsidRDefault="00F34CDA" w:rsidP="00C949C2">
            <w:pPr>
              <w:spacing w:line="20" w:lineRule="atLeast"/>
              <w:ind w:left="-108" w:right="-108"/>
              <w:contextualSpacing/>
              <w:rPr>
                <w:rFonts w:cs="Times New Roman"/>
                <w:sz w:val="20"/>
                <w:szCs w:val="20"/>
              </w:rPr>
            </w:pPr>
          </w:p>
        </w:tc>
        <w:tc>
          <w:tcPr>
            <w:tcW w:w="1162" w:type="dxa"/>
            <w:shd w:val="clear" w:color="auto" w:fill="auto"/>
          </w:tcPr>
          <w:p w14:paraId="0BDB80EE" w14:textId="77777777" w:rsidR="00F34CDA" w:rsidRPr="00F34CDA" w:rsidRDefault="00F34CDA" w:rsidP="00C949C2">
            <w:pPr>
              <w:jc w:val="center"/>
              <w:rPr>
                <w:rFonts w:eastAsiaTheme="minorEastAsia" w:cs="Times New Roman"/>
                <w:sz w:val="20"/>
                <w:szCs w:val="20"/>
                <w:lang w:eastAsia="ru-RU"/>
              </w:rPr>
            </w:pPr>
            <w:r w:rsidRPr="00F34CDA">
              <w:rPr>
                <w:rFonts w:eastAsiaTheme="minorEastAsia" w:cs="Times New Roman"/>
                <w:sz w:val="20"/>
                <w:szCs w:val="20"/>
                <w:lang w:eastAsia="ru-RU"/>
              </w:rPr>
              <w:t>Единица</w:t>
            </w:r>
          </w:p>
        </w:tc>
        <w:tc>
          <w:tcPr>
            <w:tcW w:w="5669" w:type="dxa"/>
            <w:shd w:val="clear" w:color="auto" w:fill="auto"/>
          </w:tcPr>
          <w:p w14:paraId="7EEDE713" w14:textId="77777777" w:rsidR="00F34CDA" w:rsidRPr="00F34CDA" w:rsidRDefault="00F34CDA" w:rsidP="00C949C2">
            <w:pPr>
              <w:spacing w:line="20" w:lineRule="atLeast"/>
              <w:ind w:right="-107"/>
              <w:contextualSpacing/>
              <w:rPr>
                <w:rFonts w:cs="Times New Roman"/>
                <w:sz w:val="20"/>
                <w:szCs w:val="20"/>
              </w:rPr>
            </w:pPr>
            <w:r w:rsidRPr="00F34CDA">
              <w:rPr>
                <w:rFonts w:cs="Times New Roman"/>
                <w:sz w:val="20"/>
                <w:szCs w:val="20"/>
              </w:rPr>
              <w:t>Значение определяется фактическим количеством территорий муниципального образования, визуальный облик которых был улучшен за отчетный период</w:t>
            </w:r>
          </w:p>
        </w:tc>
        <w:tc>
          <w:tcPr>
            <w:tcW w:w="2693" w:type="dxa"/>
          </w:tcPr>
          <w:p w14:paraId="07C6C216" w14:textId="77777777" w:rsidR="00F34CDA" w:rsidRPr="00F34CDA" w:rsidRDefault="00F34CDA" w:rsidP="00C949C2">
            <w:pPr>
              <w:spacing w:line="20" w:lineRule="atLeast"/>
              <w:ind w:left="-108" w:right="-107"/>
              <w:contextualSpacing/>
              <w:rPr>
                <w:rFonts w:cs="Times New Roman"/>
                <w:sz w:val="20"/>
                <w:szCs w:val="20"/>
              </w:rPr>
            </w:pPr>
            <w:r w:rsidRPr="00F34CDA">
              <w:rPr>
                <w:rFonts w:eastAsia="Arial Unicode MS" w:cs="Times New Roman"/>
                <w:sz w:val="20"/>
                <w:szCs w:val="20"/>
              </w:rPr>
              <w:t xml:space="preserve">Перечень </w:t>
            </w:r>
            <w:r w:rsidRPr="00F34CDA">
              <w:rPr>
                <w:rFonts w:cs="Times New Roman"/>
                <w:iCs/>
                <w:sz w:val="20"/>
                <w:szCs w:val="20"/>
              </w:rPr>
              <w:t xml:space="preserve">улучшенных визуальный облик территорий </w:t>
            </w:r>
            <w:r w:rsidRPr="00F34CDA">
              <w:rPr>
                <w:rFonts w:eastAsia="Arial Unicode MS" w:cs="Times New Roman"/>
                <w:sz w:val="20"/>
                <w:szCs w:val="20"/>
              </w:rPr>
              <w:t>городского округа Домодедово в отчетном году</w:t>
            </w:r>
          </w:p>
        </w:tc>
        <w:tc>
          <w:tcPr>
            <w:tcW w:w="2297" w:type="dxa"/>
            <w:shd w:val="clear" w:color="auto" w:fill="auto"/>
          </w:tcPr>
          <w:p w14:paraId="6F1074F8" w14:textId="77777777" w:rsidR="00F34CDA" w:rsidRPr="00F34CDA" w:rsidRDefault="00F34CDA" w:rsidP="00C949C2">
            <w:pPr>
              <w:spacing w:line="20" w:lineRule="atLeast"/>
              <w:ind w:left="-109" w:right="-108"/>
              <w:contextualSpacing/>
              <w:jc w:val="center"/>
              <w:rPr>
                <w:rFonts w:eastAsia="Arial Unicode MS" w:cs="Times New Roman"/>
                <w:sz w:val="20"/>
                <w:szCs w:val="20"/>
              </w:rPr>
            </w:pPr>
            <w:r w:rsidRPr="00F34CDA">
              <w:rPr>
                <w:rFonts w:eastAsia="Arial Unicode MS" w:cs="Times New Roman"/>
                <w:sz w:val="20"/>
                <w:szCs w:val="20"/>
              </w:rPr>
              <w:t>Ежегодная</w:t>
            </w:r>
          </w:p>
        </w:tc>
      </w:tr>
    </w:tbl>
    <w:p w14:paraId="73C57BAE" w14:textId="77777777" w:rsidR="00F34CDA" w:rsidRPr="003F7A1D" w:rsidRDefault="00F34CDA" w:rsidP="003F7A1D">
      <w:pPr>
        <w:spacing w:line="20" w:lineRule="atLeast"/>
        <w:ind w:left="360"/>
        <w:jc w:val="center"/>
        <w:rPr>
          <w:rFonts w:eastAsia="Arial Unicode MS"/>
          <w:b/>
          <w:color w:val="000000"/>
          <w:sz w:val="24"/>
          <w:szCs w:val="24"/>
        </w:rPr>
      </w:pPr>
    </w:p>
    <w:p w14:paraId="1CCCFE7D" w14:textId="23C0FDE3" w:rsidR="00A95B29" w:rsidRPr="009E5586" w:rsidRDefault="003F7A1D" w:rsidP="003F7A1D">
      <w:pPr>
        <w:spacing w:line="20" w:lineRule="atLeast"/>
        <w:contextualSpacing/>
        <w:jc w:val="center"/>
        <w:rPr>
          <w:rFonts w:cs="Times New Roman"/>
          <w:b/>
          <w:sz w:val="24"/>
          <w:szCs w:val="24"/>
        </w:rPr>
      </w:pPr>
      <w:r w:rsidRPr="009E5586">
        <w:rPr>
          <w:rFonts w:cs="Times New Roman"/>
          <w:b/>
          <w:sz w:val="24"/>
          <w:szCs w:val="24"/>
        </w:rPr>
        <w:t xml:space="preserve">8. </w:t>
      </w:r>
      <w:r w:rsidR="00A95B29" w:rsidRPr="009E5586">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349B9965" w:rsidR="00A95B29" w:rsidRPr="009E5586" w:rsidRDefault="00A95B29" w:rsidP="000D20BE">
      <w:pPr>
        <w:spacing w:line="276" w:lineRule="auto"/>
        <w:ind w:right="5" w:firstLine="715"/>
        <w:jc w:val="both"/>
        <w:rPr>
          <w:rFonts w:cs="Times New Roman"/>
          <w:sz w:val="24"/>
          <w:szCs w:val="24"/>
        </w:rPr>
      </w:pPr>
      <w:r w:rsidRPr="009E5586">
        <w:rPr>
          <w:rFonts w:cs="Times New Roman"/>
          <w:sz w:val="24"/>
          <w:szCs w:val="24"/>
        </w:rPr>
        <w:t xml:space="preserve">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w:t>
      </w:r>
      <w:r w:rsidR="00F34CDA">
        <w:rPr>
          <w:rFonts w:cs="Times New Roman"/>
          <w:sz w:val="24"/>
          <w:szCs w:val="24"/>
        </w:rPr>
        <w:t>07</w:t>
      </w:r>
      <w:r w:rsidRPr="009E5586">
        <w:rPr>
          <w:rFonts w:cs="Times New Roman"/>
          <w:sz w:val="24"/>
          <w:szCs w:val="24"/>
        </w:rPr>
        <w:t>.</w:t>
      </w:r>
      <w:r w:rsidR="00F34CDA">
        <w:rPr>
          <w:rFonts w:cs="Times New Roman"/>
          <w:sz w:val="24"/>
          <w:szCs w:val="24"/>
        </w:rPr>
        <w:t>02</w:t>
      </w:r>
      <w:r w:rsidRPr="009E5586">
        <w:rPr>
          <w:rFonts w:cs="Times New Roman"/>
          <w:sz w:val="24"/>
          <w:szCs w:val="24"/>
        </w:rPr>
        <w:t>.20</w:t>
      </w:r>
      <w:r w:rsidR="00F34CDA">
        <w:rPr>
          <w:rFonts w:cs="Times New Roman"/>
          <w:sz w:val="24"/>
          <w:szCs w:val="24"/>
        </w:rPr>
        <w:t>23</w:t>
      </w:r>
      <w:r w:rsidRPr="009E5586">
        <w:rPr>
          <w:rFonts w:cs="Times New Roman"/>
          <w:sz w:val="24"/>
          <w:szCs w:val="24"/>
        </w:rPr>
        <w:t xml:space="preserve"> № </w:t>
      </w:r>
      <w:r w:rsidR="00F34CDA">
        <w:rPr>
          <w:rFonts w:cs="Times New Roman"/>
          <w:sz w:val="24"/>
          <w:szCs w:val="24"/>
        </w:rPr>
        <w:t>457</w:t>
      </w:r>
      <w:r w:rsidRPr="009E5586">
        <w:rPr>
          <w:rFonts w:cs="Times New Roman"/>
          <w:sz w:val="24"/>
          <w:szCs w:val="24"/>
        </w:rPr>
        <w:t xml:space="preserve"> «Об утверждении порядка разработки и реализации муниципальных программ городского округа Домодедово Московской области» (далее – Порядок).</w:t>
      </w:r>
    </w:p>
    <w:p w14:paraId="40872322" w14:textId="3DD8A895" w:rsidR="00A95B29" w:rsidRPr="009E5586" w:rsidRDefault="003F7A1D" w:rsidP="003F7A1D">
      <w:pPr>
        <w:spacing w:line="276" w:lineRule="auto"/>
        <w:jc w:val="center"/>
        <w:rPr>
          <w:rFonts w:cs="Times New Roman"/>
          <w:b/>
          <w:sz w:val="24"/>
          <w:szCs w:val="24"/>
        </w:rPr>
      </w:pPr>
      <w:r w:rsidRPr="009E5586">
        <w:rPr>
          <w:rFonts w:cs="Times New Roman"/>
          <w:b/>
          <w:sz w:val="24"/>
          <w:szCs w:val="24"/>
        </w:rPr>
        <w:t xml:space="preserve">9. </w:t>
      </w:r>
      <w:r w:rsidR="00A95B29" w:rsidRPr="009E5586">
        <w:rPr>
          <w:rFonts w:cs="Times New Roman"/>
          <w:b/>
          <w:sz w:val="24"/>
          <w:szCs w:val="24"/>
        </w:rPr>
        <w:t>Состав, форма и сроки представления отчетности о ходе реализации мероприятий муниципальной Программы.</w:t>
      </w:r>
    </w:p>
    <w:p w14:paraId="1D0F94E3" w14:textId="2E9C47C5" w:rsidR="00801637" w:rsidRPr="004D4F6A" w:rsidRDefault="00A95B29" w:rsidP="002932D4">
      <w:pPr>
        <w:spacing w:line="276" w:lineRule="auto"/>
        <w:ind w:right="5" w:firstLine="715"/>
        <w:jc w:val="both"/>
        <w:rPr>
          <w:rFonts w:cs="Times New Roman"/>
          <w:sz w:val="24"/>
          <w:szCs w:val="24"/>
        </w:rPr>
      </w:pPr>
      <w:r w:rsidRPr="009E5586">
        <w:rPr>
          <w:rFonts w:cs="Times New Roman"/>
          <w:sz w:val="24"/>
          <w:szCs w:val="24"/>
        </w:rPr>
        <w:lastRenderedPageBreak/>
        <w:t xml:space="preserve">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w:t>
      </w:r>
      <w:r w:rsidR="00F34CDA">
        <w:rPr>
          <w:rFonts w:cs="Times New Roman"/>
          <w:sz w:val="24"/>
          <w:szCs w:val="24"/>
        </w:rPr>
        <w:t>07</w:t>
      </w:r>
      <w:r w:rsidR="00F34CDA" w:rsidRPr="009E5586">
        <w:rPr>
          <w:rFonts w:cs="Times New Roman"/>
          <w:sz w:val="24"/>
          <w:szCs w:val="24"/>
        </w:rPr>
        <w:t>.</w:t>
      </w:r>
      <w:r w:rsidR="00F34CDA">
        <w:rPr>
          <w:rFonts w:cs="Times New Roman"/>
          <w:sz w:val="24"/>
          <w:szCs w:val="24"/>
        </w:rPr>
        <w:t>02</w:t>
      </w:r>
      <w:r w:rsidR="00F34CDA" w:rsidRPr="009E5586">
        <w:rPr>
          <w:rFonts w:cs="Times New Roman"/>
          <w:sz w:val="24"/>
          <w:szCs w:val="24"/>
        </w:rPr>
        <w:t>.20</w:t>
      </w:r>
      <w:r w:rsidR="00F34CDA">
        <w:rPr>
          <w:rFonts w:cs="Times New Roman"/>
          <w:sz w:val="24"/>
          <w:szCs w:val="24"/>
        </w:rPr>
        <w:t>23</w:t>
      </w:r>
      <w:r w:rsidR="00F34CDA" w:rsidRPr="009E5586">
        <w:rPr>
          <w:rFonts w:cs="Times New Roman"/>
          <w:sz w:val="24"/>
          <w:szCs w:val="24"/>
        </w:rPr>
        <w:t xml:space="preserve"> № </w:t>
      </w:r>
      <w:r w:rsidR="00F34CDA">
        <w:rPr>
          <w:rFonts w:cs="Times New Roman"/>
          <w:sz w:val="24"/>
          <w:szCs w:val="24"/>
        </w:rPr>
        <w:t>457</w:t>
      </w:r>
      <w:r w:rsidR="00F34CDA" w:rsidRPr="009E5586">
        <w:rPr>
          <w:rFonts w:cs="Times New Roman"/>
          <w:sz w:val="24"/>
          <w:szCs w:val="24"/>
        </w:rPr>
        <w:t xml:space="preserve"> </w:t>
      </w:r>
      <w:r w:rsidRPr="009E5586">
        <w:rPr>
          <w:rFonts w:cs="Times New Roman"/>
          <w:sz w:val="24"/>
          <w:szCs w:val="24"/>
        </w:rPr>
        <w:t>«Об утверждении порядка разработки и реализации муниципальных программ городского округа Домодедово Московской области».</w:t>
      </w:r>
    </w:p>
    <w:sectPr w:rsidR="00801637" w:rsidRPr="004D4F6A" w:rsidSect="002932D4">
      <w:footerReference w:type="default" r:id="rId8"/>
      <w:pgSz w:w="16838" w:h="11906" w:orient="landscape"/>
      <w:pgMar w:top="1134" w:right="567" w:bottom="28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649D" w14:textId="77777777" w:rsidR="001D016E" w:rsidRDefault="001D016E" w:rsidP="00936B5F">
      <w:r>
        <w:separator/>
      </w:r>
    </w:p>
  </w:endnote>
  <w:endnote w:type="continuationSeparator" w:id="0">
    <w:p w14:paraId="02192B77" w14:textId="77777777" w:rsidR="001D016E" w:rsidRDefault="001D016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F981" w14:textId="77777777" w:rsidR="001D016E" w:rsidRDefault="001D016E" w:rsidP="00936B5F">
      <w:r>
        <w:separator/>
      </w:r>
    </w:p>
  </w:footnote>
  <w:footnote w:type="continuationSeparator" w:id="0">
    <w:p w14:paraId="6D699120" w14:textId="77777777" w:rsidR="001D016E" w:rsidRDefault="001D016E"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9FA74DB"/>
    <w:multiLevelType w:val="hybridMultilevel"/>
    <w:tmpl w:val="D42C4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7"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4241E"/>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A3745"/>
    <w:rsid w:val="000B2126"/>
    <w:rsid w:val="000C0C08"/>
    <w:rsid w:val="000C2128"/>
    <w:rsid w:val="000C300C"/>
    <w:rsid w:val="000C6750"/>
    <w:rsid w:val="000D20BE"/>
    <w:rsid w:val="000D25A7"/>
    <w:rsid w:val="000D7A49"/>
    <w:rsid w:val="000E1152"/>
    <w:rsid w:val="000E1287"/>
    <w:rsid w:val="000E4014"/>
    <w:rsid w:val="000E707D"/>
    <w:rsid w:val="00100DE1"/>
    <w:rsid w:val="00101400"/>
    <w:rsid w:val="00101F99"/>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6A33"/>
    <w:rsid w:val="0016788C"/>
    <w:rsid w:val="00180FBA"/>
    <w:rsid w:val="00181CB3"/>
    <w:rsid w:val="00184090"/>
    <w:rsid w:val="001A324F"/>
    <w:rsid w:val="001A4329"/>
    <w:rsid w:val="001B18F0"/>
    <w:rsid w:val="001B72FE"/>
    <w:rsid w:val="001C1C5D"/>
    <w:rsid w:val="001C1E10"/>
    <w:rsid w:val="001C465B"/>
    <w:rsid w:val="001C4A52"/>
    <w:rsid w:val="001C70C6"/>
    <w:rsid w:val="001D016E"/>
    <w:rsid w:val="001D3CD5"/>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86E"/>
    <w:rsid w:val="002579D8"/>
    <w:rsid w:val="0026697E"/>
    <w:rsid w:val="00273863"/>
    <w:rsid w:val="002748B3"/>
    <w:rsid w:val="002812BD"/>
    <w:rsid w:val="00282E33"/>
    <w:rsid w:val="002847D4"/>
    <w:rsid w:val="002932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72A"/>
    <w:rsid w:val="00383ED7"/>
    <w:rsid w:val="003847D2"/>
    <w:rsid w:val="003A00F4"/>
    <w:rsid w:val="003A04C4"/>
    <w:rsid w:val="003A1AF8"/>
    <w:rsid w:val="003A7F5C"/>
    <w:rsid w:val="003B4E41"/>
    <w:rsid w:val="003C271E"/>
    <w:rsid w:val="003C3137"/>
    <w:rsid w:val="003C504E"/>
    <w:rsid w:val="003D180C"/>
    <w:rsid w:val="003D76C8"/>
    <w:rsid w:val="003D77F0"/>
    <w:rsid w:val="003E2038"/>
    <w:rsid w:val="003E2662"/>
    <w:rsid w:val="003F49BD"/>
    <w:rsid w:val="003F7A1D"/>
    <w:rsid w:val="00405598"/>
    <w:rsid w:val="00407501"/>
    <w:rsid w:val="00411BAE"/>
    <w:rsid w:val="0042168F"/>
    <w:rsid w:val="004230C4"/>
    <w:rsid w:val="004260E8"/>
    <w:rsid w:val="00426AF9"/>
    <w:rsid w:val="00427B4A"/>
    <w:rsid w:val="004402C4"/>
    <w:rsid w:val="004451AA"/>
    <w:rsid w:val="004469BE"/>
    <w:rsid w:val="00454008"/>
    <w:rsid w:val="004540E3"/>
    <w:rsid w:val="004555CA"/>
    <w:rsid w:val="004573C1"/>
    <w:rsid w:val="0046085F"/>
    <w:rsid w:val="00463A30"/>
    <w:rsid w:val="0046612D"/>
    <w:rsid w:val="0046794D"/>
    <w:rsid w:val="00471556"/>
    <w:rsid w:val="00482D8C"/>
    <w:rsid w:val="0048327D"/>
    <w:rsid w:val="0048689E"/>
    <w:rsid w:val="0049454B"/>
    <w:rsid w:val="004A131F"/>
    <w:rsid w:val="004A20C0"/>
    <w:rsid w:val="004A74E3"/>
    <w:rsid w:val="004B1783"/>
    <w:rsid w:val="004B4F58"/>
    <w:rsid w:val="004B50B1"/>
    <w:rsid w:val="004C0497"/>
    <w:rsid w:val="004C0B20"/>
    <w:rsid w:val="004C791B"/>
    <w:rsid w:val="004D05D2"/>
    <w:rsid w:val="004D32DB"/>
    <w:rsid w:val="004D4F6A"/>
    <w:rsid w:val="004D6F23"/>
    <w:rsid w:val="004D7BC1"/>
    <w:rsid w:val="004E241B"/>
    <w:rsid w:val="004E6469"/>
    <w:rsid w:val="0050330D"/>
    <w:rsid w:val="00503A43"/>
    <w:rsid w:val="00506E06"/>
    <w:rsid w:val="00507600"/>
    <w:rsid w:val="0050761E"/>
    <w:rsid w:val="0051613A"/>
    <w:rsid w:val="00517045"/>
    <w:rsid w:val="00521EA1"/>
    <w:rsid w:val="00521EED"/>
    <w:rsid w:val="005247E9"/>
    <w:rsid w:val="005261F6"/>
    <w:rsid w:val="00532EC8"/>
    <w:rsid w:val="0053489F"/>
    <w:rsid w:val="00536865"/>
    <w:rsid w:val="005421F4"/>
    <w:rsid w:val="005434B4"/>
    <w:rsid w:val="00544C31"/>
    <w:rsid w:val="0057404A"/>
    <w:rsid w:val="00574BD4"/>
    <w:rsid w:val="00575EF3"/>
    <w:rsid w:val="00577B7F"/>
    <w:rsid w:val="00577CEB"/>
    <w:rsid w:val="005808ED"/>
    <w:rsid w:val="00582E58"/>
    <w:rsid w:val="0058787A"/>
    <w:rsid w:val="005923D1"/>
    <w:rsid w:val="005A056A"/>
    <w:rsid w:val="005A1AA1"/>
    <w:rsid w:val="005A4489"/>
    <w:rsid w:val="005A7E72"/>
    <w:rsid w:val="005B2C72"/>
    <w:rsid w:val="005B2F17"/>
    <w:rsid w:val="005B37C9"/>
    <w:rsid w:val="005B6D24"/>
    <w:rsid w:val="005C1176"/>
    <w:rsid w:val="005C7D7B"/>
    <w:rsid w:val="005D4E4F"/>
    <w:rsid w:val="005D5AF9"/>
    <w:rsid w:val="005D5D82"/>
    <w:rsid w:val="005E0EFD"/>
    <w:rsid w:val="005E1F95"/>
    <w:rsid w:val="005E2C1C"/>
    <w:rsid w:val="005E4020"/>
    <w:rsid w:val="005F29D5"/>
    <w:rsid w:val="006055EB"/>
    <w:rsid w:val="0060651E"/>
    <w:rsid w:val="00620EB1"/>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810B3"/>
    <w:rsid w:val="0068474F"/>
    <w:rsid w:val="00690489"/>
    <w:rsid w:val="00696C3C"/>
    <w:rsid w:val="006A15EA"/>
    <w:rsid w:val="006B269F"/>
    <w:rsid w:val="006B590C"/>
    <w:rsid w:val="006B71E3"/>
    <w:rsid w:val="006B7B45"/>
    <w:rsid w:val="006B7E69"/>
    <w:rsid w:val="006C2082"/>
    <w:rsid w:val="006C299B"/>
    <w:rsid w:val="006C4133"/>
    <w:rsid w:val="006D0503"/>
    <w:rsid w:val="006D12B6"/>
    <w:rsid w:val="006D3593"/>
    <w:rsid w:val="006E2387"/>
    <w:rsid w:val="006E313A"/>
    <w:rsid w:val="006E49B3"/>
    <w:rsid w:val="006E7837"/>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2E13"/>
    <w:rsid w:val="007A3EC6"/>
    <w:rsid w:val="007B3DD6"/>
    <w:rsid w:val="007B637E"/>
    <w:rsid w:val="007C01B1"/>
    <w:rsid w:val="007C1BEE"/>
    <w:rsid w:val="007C2D41"/>
    <w:rsid w:val="007D0704"/>
    <w:rsid w:val="007D70EE"/>
    <w:rsid w:val="007E1401"/>
    <w:rsid w:val="007E5A65"/>
    <w:rsid w:val="00800359"/>
    <w:rsid w:val="008014CA"/>
    <w:rsid w:val="00801637"/>
    <w:rsid w:val="00804047"/>
    <w:rsid w:val="00805301"/>
    <w:rsid w:val="0080697F"/>
    <w:rsid w:val="00811FAB"/>
    <w:rsid w:val="00813B6C"/>
    <w:rsid w:val="0081613C"/>
    <w:rsid w:val="00822134"/>
    <w:rsid w:val="00824849"/>
    <w:rsid w:val="00825246"/>
    <w:rsid w:val="00832701"/>
    <w:rsid w:val="00832BAA"/>
    <w:rsid w:val="00833237"/>
    <w:rsid w:val="008372FF"/>
    <w:rsid w:val="00837FD7"/>
    <w:rsid w:val="00843B5F"/>
    <w:rsid w:val="00843BEE"/>
    <w:rsid w:val="0084754A"/>
    <w:rsid w:val="00850817"/>
    <w:rsid w:val="008517F1"/>
    <w:rsid w:val="00855D79"/>
    <w:rsid w:val="0085741E"/>
    <w:rsid w:val="008600C6"/>
    <w:rsid w:val="008609EA"/>
    <w:rsid w:val="008640A9"/>
    <w:rsid w:val="0086554C"/>
    <w:rsid w:val="008669B2"/>
    <w:rsid w:val="008669DA"/>
    <w:rsid w:val="008672AD"/>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3761C"/>
    <w:rsid w:val="0094174C"/>
    <w:rsid w:val="009532C5"/>
    <w:rsid w:val="009536AC"/>
    <w:rsid w:val="0095378C"/>
    <w:rsid w:val="00960420"/>
    <w:rsid w:val="00961B81"/>
    <w:rsid w:val="00987CDC"/>
    <w:rsid w:val="00987D9D"/>
    <w:rsid w:val="0099068E"/>
    <w:rsid w:val="00990FC9"/>
    <w:rsid w:val="00991AED"/>
    <w:rsid w:val="00991C5A"/>
    <w:rsid w:val="0099232A"/>
    <w:rsid w:val="009926A6"/>
    <w:rsid w:val="009A1AF8"/>
    <w:rsid w:val="009A5FF4"/>
    <w:rsid w:val="009B00AF"/>
    <w:rsid w:val="009B60FE"/>
    <w:rsid w:val="009B7055"/>
    <w:rsid w:val="009C0306"/>
    <w:rsid w:val="009C6E94"/>
    <w:rsid w:val="009C7F41"/>
    <w:rsid w:val="009D4E12"/>
    <w:rsid w:val="009D65D3"/>
    <w:rsid w:val="009E242C"/>
    <w:rsid w:val="009E2A0C"/>
    <w:rsid w:val="009E4467"/>
    <w:rsid w:val="009E5586"/>
    <w:rsid w:val="009F532C"/>
    <w:rsid w:val="00A00C73"/>
    <w:rsid w:val="00A00F62"/>
    <w:rsid w:val="00A1187C"/>
    <w:rsid w:val="00A146B5"/>
    <w:rsid w:val="00A15E6A"/>
    <w:rsid w:val="00A16641"/>
    <w:rsid w:val="00A218CC"/>
    <w:rsid w:val="00A270A7"/>
    <w:rsid w:val="00A4380F"/>
    <w:rsid w:val="00A47BC4"/>
    <w:rsid w:val="00A505C9"/>
    <w:rsid w:val="00A5187A"/>
    <w:rsid w:val="00A523A4"/>
    <w:rsid w:val="00A52720"/>
    <w:rsid w:val="00A621C3"/>
    <w:rsid w:val="00A649A0"/>
    <w:rsid w:val="00A72F8D"/>
    <w:rsid w:val="00A80AEB"/>
    <w:rsid w:val="00A85CDD"/>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36765"/>
    <w:rsid w:val="00B41CF6"/>
    <w:rsid w:val="00B50370"/>
    <w:rsid w:val="00B50571"/>
    <w:rsid w:val="00B5460B"/>
    <w:rsid w:val="00B61AC8"/>
    <w:rsid w:val="00B72369"/>
    <w:rsid w:val="00B730B7"/>
    <w:rsid w:val="00B773F9"/>
    <w:rsid w:val="00B8004C"/>
    <w:rsid w:val="00B83A94"/>
    <w:rsid w:val="00B84ECE"/>
    <w:rsid w:val="00B9158B"/>
    <w:rsid w:val="00B94ACD"/>
    <w:rsid w:val="00B95287"/>
    <w:rsid w:val="00B9638C"/>
    <w:rsid w:val="00B96AD5"/>
    <w:rsid w:val="00BA391C"/>
    <w:rsid w:val="00BA4DEF"/>
    <w:rsid w:val="00BA61EF"/>
    <w:rsid w:val="00BA7E27"/>
    <w:rsid w:val="00BB1F57"/>
    <w:rsid w:val="00BB62D4"/>
    <w:rsid w:val="00BB7723"/>
    <w:rsid w:val="00BB7D18"/>
    <w:rsid w:val="00BC08EC"/>
    <w:rsid w:val="00BC7902"/>
    <w:rsid w:val="00BD1985"/>
    <w:rsid w:val="00BD5E99"/>
    <w:rsid w:val="00BE0CF1"/>
    <w:rsid w:val="00BE5407"/>
    <w:rsid w:val="00BE7D53"/>
    <w:rsid w:val="00BF3251"/>
    <w:rsid w:val="00BF63E3"/>
    <w:rsid w:val="00C0223F"/>
    <w:rsid w:val="00C14E9E"/>
    <w:rsid w:val="00C14FD3"/>
    <w:rsid w:val="00C174A4"/>
    <w:rsid w:val="00C20309"/>
    <w:rsid w:val="00C24D27"/>
    <w:rsid w:val="00C25BB3"/>
    <w:rsid w:val="00C3100B"/>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94932"/>
    <w:rsid w:val="00CA544C"/>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5CFC"/>
    <w:rsid w:val="00D26358"/>
    <w:rsid w:val="00D30715"/>
    <w:rsid w:val="00D31333"/>
    <w:rsid w:val="00D43C69"/>
    <w:rsid w:val="00D4407A"/>
    <w:rsid w:val="00D47172"/>
    <w:rsid w:val="00D4733F"/>
    <w:rsid w:val="00D509EC"/>
    <w:rsid w:val="00D51EA7"/>
    <w:rsid w:val="00D54E6E"/>
    <w:rsid w:val="00D54F9D"/>
    <w:rsid w:val="00D5726E"/>
    <w:rsid w:val="00D641E3"/>
    <w:rsid w:val="00D72F75"/>
    <w:rsid w:val="00D75334"/>
    <w:rsid w:val="00D77E73"/>
    <w:rsid w:val="00D96D09"/>
    <w:rsid w:val="00DB0DB5"/>
    <w:rsid w:val="00DB451F"/>
    <w:rsid w:val="00DB7B00"/>
    <w:rsid w:val="00DD36D6"/>
    <w:rsid w:val="00DE1FBF"/>
    <w:rsid w:val="00DE61BD"/>
    <w:rsid w:val="00DE76A2"/>
    <w:rsid w:val="00DF1767"/>
    <w:rsid w:val="00DF3B40"/>
    <w:rsid w:val="00E05032"/>
    <w:rsid w:val="00E05C19"/>
    <w:rsid w:val="00E0754E"/>
    <w:rsid w:val="00E07C40"/>
    <w:rsid w:val="00E112B5"/>
    <w:rsid w:val="00E12D59"/>
    <w:rsid w:val="00E12F7F"/>
    <w:rsid w:val="00E25E6D"/>
    <w:rsid w:val="00E31B66"/>
    <w:rsid w:val="00E3653D"/>
    <w:rsid w:val="00E50E58"/>
    <w:rsid w:val="00E602C7"/>
    <w:rsid w:val="00E648E1"/>
    <w:rsid w:val="00E64B43"/>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22E"/>
    <w:rsid w:val="00EB5C85"/>
    <w:rsid w:val="00EC5E03"/>
    <w:rsid w:val="00EC6021"/>
    <w:rsid w:val="00ED2033"/>
    <w:rsid w:val="00ED6847"/>
    <w:rsid w:val="00EF3453"/>
    <w:rsid w:val="00EF52A6"/>
    <w:rsid w:val="00F03C0A"/>
    <w:rsid w:val="00F055C4"/>
    <w:rsid w:val="00F06235"/>
    <w:rsid w:val="00F1529A"/>
    <w:rsid w:val="00F21DE1"/>
    <w:rsid w:val="00F24356"/>
    <w:rsid w:val="00F26A50"/>
    <w:rsid w:val="00F3072C"/>
    <w:rsid w:val="00F31032"/>
    <w:rsid w:val="00F34A32"/>
    <w:rsid w:val="00F34CDA"/>
    <w:rsid w:val="00F351A0"/>
    <w:rsid w:val="00F44270"/>
    <w:rsid w:val="00F45526"/>
    <w:rsid w:val="00F54397"/>
    <w:rsid w:val="00F56539"/>
    <w:rsid w:val="00F56D6F"/>
    <w:rsid w:val="00F6101C"/>
    <w:rsid w:val="00F61B8D"/>
    <w:rsid w:val="00F72EB4"/>
    <w:rsid w:val="00F77BD2"/>
    <w:rsid w:val="00F8336A"/>
    <w:rsid w:val="00F83FAD"/>
    <w:rsid w:val="00F8503E"/>
    <w:rsid w:val="00F86D89"/>
    <w:rsid w:val="00F90CA4"/>
    <w:rsid w:val="00F932F2"/>
    <w:rsid w:val="00F95A24"/>
    <w:rsid w:val="00FA2184"/>
    <w:rsid w:val="00FA301C"/>
    <w:rsid w:val="00FB5173"/>
    <w:rsid w:val="00FC28A3"/>
    <w:rsid w:val="00FC337A"/>
    <w:rsid w:val="00FC506C"/>
    <w:rsid w:val="00FC6851"/>
    <w:rsid w:val="00FD3B24"/>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3A990684-E63D-4522-B026-B7B85F67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30829389">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872499091">
      <w:bodyDiv w:val="1"/>
      <w:marLeft w:val="0"/>
      <w:marRight w:val="0"/>
      <w:marTop w:val="0"/>
      <w:marBottom w:val="0"/>
      <w:divBdr>
        <w:top w:val="none" w:sz="0" w:space="0" w:color="auto"/>
        <w:left w:val="none" w:sz="0" w:space="0" w:color="auto"/>
        <w:bottom w:val="none" w:sz="0" w:space="0" w:color="auto"/>
        <w:right w:val="none" w:sz="0" w:space="0" w:color="auto"/>
      </w:divBdr>
    </w:div>
    <w:div w:id="875509229">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374774001">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58996631">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369898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5D88B-C73D-4913-A18F-F1939369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3816</Words>
  <Characters>21756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Сидоренко Е.М.</cp:lastModifiedBy>
  <cp:revision>7</cp:revision>
  <cp:lastPrinted>2022-10-10T07:49:00Z</cp:lastPrinted>
  <dcterms:created xsi:type="dcterms:W3CDTF">2025-10-09T10:48:00Z</dcterms:created>
  <dcterms:modified xsi:type="dcterms:W3CDTF">2025-10-09T11:26:00Z</dcterms:modified>
</cp:coreProperties>
</file>